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9B5" w:rsidRDefault="00AA69B5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AA69B5" w:rsidRDefault="00AA69B5">
      <w:pPr>
        <w:pStyle w:val="ConsPlusNormal"/>
        <w:jc w:val="both"/>
        <w:outlineLvl w:val="0"/>
      </w:pPr>
    </w:p>
    <w:p w:rsidR="00AA69B5" w:rsidRDefault="00AA69B5">
      <w:pPr>
        <w:pStyle w:val="ConsPlusNormal"/>
        <w:outlineLvl w:val="0"/>
      </w:pPr>
      <w:r>
        <w:t>Зарегистрировано в Минюсте России 18 февраля 2021 г. N 62547</w:t>
      </w:r>
    </w:p>
    <w:p w:rsidR="00AA69B5" w:rsidRDefault="00AA69B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Title"/>
        <w:jc w:val="center"/>
      </w:pPr>
      <w:r>
        <w:t>МИНИСТЕРСТВО НАУКИ И ВЫСШЕГО ОБРАЗОВАНИЯ</w:t>
      </w:r>
    </w:p>
    <w:p w:rsidR="00AA69B5" w:rsidRDefault="00AA69B5">
      <w:pPr>
        <w:pStyle w:val="ConsPlusTitle"/>
        <w:jc w:val="center"/>
      </w:pPr>
      <w:r>
        <w:t>РОССИЙСКОЙ ФЕДЕРАЦИИ</w:t>
      </w:r>
    </w:p>
    <w:p w:rsidR="00AA69B5" w:rsidRDefault="00AA69B5">
      <w:pPr>
        <w:pStyle w:val="ConsPlusTitle"/>
        <w:jc w:val="center"/>
      </w:pPr>
    </w:p>
    <w:p w:rsidR="00AA69B5" w:rsidRDefault="00AA69B5">
      <w:pPr>
        <w:pStyle w:val="ConsPlusTitle"/>
        <w:jc w:val="center"/>
      </w:pPr>
      <w:r>
        <w:t>ПРИКАЗ</w:t>
      </w:r>
    </w:p>
    <w:p w:rsidR="00AA69B5" w:rsidRDefault="00AA69B5">
      <w:pPr>
        <w:pStyle w:val="ConsPlusTitle"/>
        <w:jc w:val="center"/>
      </w:pPr>
      <w:r>
        <w:t>от 25 ноября 2020 г. N 1452</w:t>
      </w:r>
    </w:p>
    <w:p w:rsidR="00AA69B5" w:rsidRDefault="00AA69B5">
      <w:pPr>
        <w:pStyle w:val="ConsPlusTitle"/>
        <w:jc w:val="center"/>
      </w:pPr>
    </w:p>
    <w:p w:rsidR="00AA69B5" w:rsidRDefault="00AA69B5">
      <w:pPr>
        <w:pStyle w:val="ConsPlusTitle"/>
        <w:jc w:val="center"/>
      </w:pPr>
      <w:r>
        <w:t>ОБ УТВЕРЖДЕНИИ</w:t>
      </w:r>
    </w:p>
    <w:p w:rsidR="00AA69B5" w:rsidRDefault="00AA69B5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AA69B5" w:rsidRDefault="00AA69B5">
      <w:pPr>
        <w:pStyle w:val="ConsPlusTitle"/>
        <w:jc w:val="center"/>
      </w:pPr>
      <w:r>
        <w:t>ВЫСШЕГО ОБРАЗОВАНИЯ - МАГИСТРАТУРА ПО НАПРАВЛЕНИЮ ПОДГОТОВКИ</w:t>
      </w:r>
    </w:p>
    <w:p w:rsidR="00AA69B5" w:rsidRDefault="00AA69B5">
      <w:pPr>
        <w:pStyle w:val="ConsPlusTitle"/>
        <w:jc w:val="center"/>
      </w:pPr>
      <w:r>
        <w:t xml:space="preserve">15.04.04 АВТОМАТИЗАЦИЯ </w:t>
      </w:r>
      <w:proofErr w:type="gramStart"/>
      <w:r>
        <w:t>ТЕХНОЛОГИЧЕСКИХ</w:t>
      </w:r>
      <w:proofErr w:type="gramEnd"/>
    </w:p>
    <w:p w:rsidR="00AA69B5" w:rsidRDefault="00AA69B5">
      <w:pPr>
        <w:pStyle w:val="ConsPlusTitle"/>
        <w:jc w:val="center"/>
      </w:pPr>
      <w:r>
        <w:t>ПРОЦЕССОВ И ПРОИЗВОДСТВ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</w:t>
      </w:r>
      <w:proofErr w:type="gramEnd"/>
      <w:r>
        <w:t xml:space="preserve"> 2019 г. N 434 (Собрание законодательства Российской Федерации, 2019, N 16, ст. 1942), приказываю: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15.04.04 Автоматизация технологических процессов и производств (далее - стандарт).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AA69B5" w:rsidRDefault="00AA69B5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15.04.04 Автоматизация технологических процессов и производств (уровень магистратуры), утвержденным приказом Министерства образования и науки Российской Федерации от 21 ноября 2014 г. N 1484 (зарегистрирован Министерством юстиции Российской Федерации 15 декабря 2014 г., регистрационный N 35181), с изменениями, внесенными приказом Министерства образования и науки Российской Федерации</w:t>
      </w:r>
      <w:proofErr w:type="gramEnd"/>
      <w:r>
        <w:t xml:space="preserve"> от 20 апреля 2016 г. N 444 (зарегистрирован Министерством юстиции Российской Федерации 23 мая 2016 г., регистрационный N 42205), прекращается 1 марта 2021 года.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jc w:val="right"/>
      </w:pPr>
      <w:r>
        <w:t>Министр</w:t>
      </w:r>
    </w:p>
    <w:p w:rsidR="00AA69B5" w:rsidRDefault="00AA69B5">
      <w:pPr>
        <w:pStyle w:val="ConsPlusNormal"/>
        <w:jc w:val="right"/>
      </w:pPr>
      <w:r>
        <w:t>В.Н.ФАЛЬКОВ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jc w:val="right"/>
        <w:outlineLvl w:val="0"/>
      </w:pPr>
      <w:r>
        <w:t>Приложение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jc w:val="right"/>
      </w:pPr>
      <w:r>
        <w:t>Утвержден</w:t>
      </w:r>
    </w:p>
    <w:p w:rsidR="00AA69B5" w:rsidRDefault="00AA69B5">
      <w:pPr>
        <w:pStyle w:val="ConsPlusNormal"/>
        <w:jc w:val="right"/>
      </w:pPr>
      <w:r>
        <w:t>приказом Министерства науки</w:t>
      </w:r>
    </w:p>
    <w:p w:rsidR="00AA69B5" w:rsidRDefault="00AA69B5">
      <w:pPr>
        <w:pStyle w:val="ConsPlusNormal"/>
        <w:jc w:val="right"/>
      </w:pPr>
      <w:r>
        <w:t>и высшего образования</w:t>
      </w:r>
    </w:p>
    <w:p w:rsidR="00AA69B5" w:rsidRDefault="00AA69B5">
      <w:pPr>
        <w:pStyle w:val="ConsPlusNormal"/>
        <w:jc w:val="right"/>
      </w:pPr>
      <w:r>
        <w:t>Российской Федерации</w:t>
      </w:r>
    </w:p>
    <w:p w:rsidR="00AA69B5" w:rsidRDefault="00AA69B5">
      <w:pPr>
        <w:pStyle w:val="ConsPlusNormal"/>
        <w:jc w:val="right"/>
      </w:pPr>
      <w:r>
        <w:t>от 25 ноября 2020 г. N 1452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AA69B5" w:rsidRDefault="00AA69B5">
      <w:pPr>
        <w:pStyle w:val="ConsPlusTitle"/>
        <w:jc w:val="center"/>
      </w:pPr>
      <w:r>
        <w:t>ВЫСШЕГО ОБРАЗОВАНИЯ - МАГИСТРАТУРА ПО НАПРАВЛЕНИЮ ПОДГОТОВКИ</w:t>
      </w:r>
    </w:p>
    <w:p w:rsidR="00AA69B5" w:rsidRDefault="00AA69B5">
      <w:pPr>
        <w:pStyle w:val="ConsPlusTitle"/>
        <w:jc w:val="center"/>
      </w:pPr>
      <w:r>
        <w:t xml:space="preserve">15.04.04 АВТОМАТИЗАЦИЯ </w:t>
      </w:r>
      <w:proofErr w:type="gramStart"/>
      <w:r>
        <w:t>ТЕХНОЛОГИЧЕСКИХ</w:t>
      </w:r>
      <w:proofErr w:type="gramEnd"/>
    </w:p>
    <w:p w:rsidR="00AA69B5" w:rsidRDefault="00AA69B5">
      <w:pPr>
        <w:pStyle w:val="ConsPlusTitle"/>
        <w:jc w:val="center"/>
      </w:pPr>
      <w:r>
        <w:t>ПРОЦЕССОВ И ПРОИЗВОДСТВ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Title"/>
        <w:jc w:val="center"/>
        <w:outlineLvl w:val="1"/>
      </w:pPr>
      <w:r>
        <w:t>I. Общие положения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15.04.04 Автоматизация технологических процессов и производств (далее соответственно - программа магистратуры, направление подготовки).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очной, очно-заочной и заочной формах.</w:t>
      </w:r>
      <w:proofErr w:type="gramEnd"/>
    </w:p>
    <w:p w:rsidR="00AA69B5" w:rsidRDefault="00AA69B5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AA69B5" w:rsidRDefault="00AA69B5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AA69B5" w:rsidRDefault="00AA69B5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ind w:firstLine="540"/>
        <w:jc w:val="both"/>
      </w:pPr>
      <w:bookmarkStart w:id="1" w:name="P56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AA69B5" w:rsidRDefault="00AA69B5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3 месяца и не более чем на 6 месяцев по сравнению со сроком получения образования в очной форме обучения;</w:t>
      </w:r>
      <w:proofErr w:type="gramEnd"/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6 месяцев по сравнению со сроком получения образования, </w:t>
      </w:r>
      <w:r>
        <w:lastRenderedPageBreak/>
        <w:t>установленным для соответствующей.</w:t>
      </w:r>
    </w:p>
    <w:p w:rsidR="00AA69B5" w:rsidRDefault="00AA69B5">
      <w:pPr>
        <w:pStyle w:val="ConsPlusNormal"/>
        <w:spacing w:before="220"/>
        <w:ind w:firstLine="540"/>
        <w:jc w:val="both"/>
      </w:pPr>
      <w:bookmarkStart w:id="2" w:name="P60"/>
      <w:bookmarkEnd w:id="2"/>
      <w:r>
        <w:t xml:space="preserve">1.9. Объем программы магистратуры составляет 120 зачетных единиц (далее - </w:t>
      </w:r>
      <w:proofErr w:type="spellStart"/>
      <w:r>
        <w:t>з.е</w:t>
      </w:r>
      <w:proofErr w:type="spellEnd"/>
      <w:r>
        <w:t>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Объем программы магистратуры, реализуемый за один учебный год, составляет не более 70 </w:t>
      </w:r>
      <w:proofErr w:type="spellStart"/>
      <w:r>
        <w:t>з.е</w:t>
      </w:r>
      <w:proofErr w:type="spellEnd"/>
      <w:r>
        <w:t xml:space="preserve">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</w:t>
      </w:r>
      <w:proofErr w:type="spellStart"/>
      <w:r>
        <w:t>з.е</w:t>
      </w:r>
      <w:proofErr w:type="spellEnd"/>
      <w:r>
        <w:t>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6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0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</w:t>
      </w:r>
    </w:p>
    <w:p w:rsidR="00AA69B5" w:rsidRDefault="00AA69B5">
      <w:pPr>
        <w:pStyle w:val="ConsPlusNormal"/>
        <w:spacing w:before="220"/>
        <w:ind w:firstLine="540"/>
        <w:jc w:val="both"/>
      </w:pPr>
      <w:bookmarkStart w:id="3" w:name="P65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A69B5" w:rsidRDefault="00AA69B5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0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01</w:t>
        </w:r>
      </w:hyperlink>
      <w:r>
        <w:t xml:space="preserve"> Образование и наука (в сфере научных исследований);</w:t>
      </w:r>
    </w:p>
    <w:p w:rsidR="00AA69B5" w:rsidRDefault="00AA69B5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20</w:t>
        </w:r>
      </w:hyperlink>
      <w:r>
        <w:t xml:space="preserve"> Электроэнергетика (в сферах: проектирования технологических процессов с использованием систем автоматизированного проектирования; внедрения и отладки нового автоматизированного технологического оборудования);</w:t>
      </w:r>
    </w:p>
    <w:p w:rsidR="00AA69B5" w:rsidRDefault="00AA69B5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23</w:t>
        </w:r>
      </w:hyperlink>
      <w:r>
        <w:t xml:space="preserve"> Деревообрабатывающая и целлюлозно-бумажная промышленность, мебельное производство (в сферах: автоматизированной разработки программ для станков с числовым программным управлением; повышения эффективности и оптимизации применения оборудования с автоматическим числовым программным управлением);</w:t>
      </w:r>
    </w:p>
    <w:p w:rsidR="00AA69B5" w:rsidRDefault="00AA69B5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24</w:t>
        </w:r>
      </w:hyperlink>
      <w:r>
        <w:t xml:space="preserve"> Атомная промышленность (в сферах: эксплуатации гибких производственных систем; внедрения и оптимизации применения технологического оборудования с гибким программным управлением);</w:t>
      </w:r>
    </w:p>
    <w:p w:rsidR="00AA69B5" w:rsidRDefault="00AA69B5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25</w:t>
        </w:r>
      </w:hyperlink>
      <w:r>
        <w:t xml:space="preserve"> Ракетно-космическая промышленность (в сферах: обеспечения качества и производительности изготовления деталей на станках с числовым программным управлением; внедрения и отладки технологического оборудования с гибким числовым программным управлением для производства узлов и деталей ракетно-космической техники);</w:t>
      </w:r>
    </w:p>
    <w:p w:rsidR="00AA69B5" w:rsidRDefault="00AA69B5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28</w:t>
        </w:r>
      </w:hyperlink>
      <w:r>
        <w:t xml:space="preserve"> Производство машин и оборудования (в сфере обеспечения надежного и эффективного функционирования гибких производственных систем);</w:t>
      </w:r>
    </w:p>
    <w:p w:rsidR="00AA69B5" w:rsidRDefault="00AA69B5">
      <w:pPr>
        <w:pStyle w:val="ConsPlusNormal"/>
        <w:spacing w:before="220"/>
        <w:ind w:firstLine="540"/>
        <w:jc w:val="both"/>
      </w:pPr>
      <w:hyperlink r:id="rId17" w:history="1">
        <w:r>
          <w:rPr>
            <w:color w:val="0000FF"/>
          </w:rPr>
          <w:t>31</w:t>
        </w:r>
      </w:hyperlink>
      <w:r>
        <w:t xml:space="preserve"> Автомобилестроение (в сферах: разработки технологической документации гибких производственных систем; внедрения и отладки гибких производственных систем с числовым программным управлением при производстве широкой номенклатуры деталей и узлов автотранспорта);</w:t>
      </w:r>
    </w:p>
    <w:p w:rsidR="00AA69B5" w:rsidRDefault="00AA69B5">
      <w:pPr>
        <w:pStyle w:val="ConsPlusNormal"/>
        <w:spacing w:before="220"/>
        <w:ind w:firstLine="540"/>
        <w:jc w:val="both"/>
      </w:pPr>
      <w:hyperlink r:id="rId18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автоматизации и механизации производственных процессов);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AA69B5" w:rsidRDefault="00AA69B5">
      <w:pPr>
        <w:pStyle w:val="ConsPlusNormal"/>
        <w:spacing w:before="220"/>
        <w:ind w:firstLine="540"/>
        <w:jc w:val="both"/>
      </w:pPr>
      <w:bookmarkStart w:id="4" w:name="P78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научно-педагогический;</w:t>
      </w:r>
    </w:p>
    <w:p w:rsidR="00AA69B5" w:rsidRDefault="00AA69B5">
      <w:pPr>
        <w:pStyle w:val="ConsPlusNormal"/>
        <w:spacing w:before="220"/>
        <w:ind w:firstLine="540"/>
        <w:jc w:val="both"/>
      </w:pPr>
      <w:proofErr w:type="spellStart"/>
      <w:r>
        <w:t>сервисно</w:t>
      </w:r>
      <w:proofErr w:type="spellEnd"/>
      <w:r>
        <w:t>-эксплуатационный.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AA69B5" w:rsidRDefault="00AA69B5">
      <w:pPr>
        <w:pStyle w:val="ConsPlusNormal"/>
        <w:spacing w:before="220"/>
        <w:ind w:firstLine="540"/>
        <w:jc w:val="both"/>
      </w:pPr>
      <w:hyperlink w:anchor="P104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AA69B5" w:rsidRDefault="00AA69B5">
      <w:pPr>
        <w:pStyle w:val="ConsPlusNormal"/>
        <w:spacing w:before="220"/>
        <w:ind w:firstLine="540"/>
        <w:jc w:val="both"/>
      </w:pPr>
      <w:hyperlink w:anchor="P107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AA69B5" w:rsidRDefault="00AA69B5">
      <w:pPr>
        <w:pStyle w:val="ConsPlusNormal"/>
        <w:spacing w:before="220"/>
        <w:ind w:firstLine="540"/>
        <w:jc w:val="both"/>
      </w:pPr>
      <w:hyperlink w:anchor="P110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jc w:val="right"/>
      </w:pPr>
      <w:r>
        <w:t>Таблица</w:t>
      </w:r>
    </w:p>
    <w:p w:rsidR="00AA69B5" w:rsidRDefault="00AA69B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4025"/>
        <w:gridCol w:w="3628"/>
      </w:tblGrid>
      <w:tr w:rsidR="00AA69B5">
        <w:tc>
          <w:tcPr>
            <w:tcW w:w="5442" w:type="dxa"/>
            <w:gridSpan w:val="2"/>
          </w:tcPr>
          <w:p w:rsidR="00AA69B5" w:rsidRDefault="00AA69B5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628" w:type="dxa"/>
          </w:tcPr>
          <w:p w:rsidR="00AA69B5" w:rsidRDefault="00AA69B5">
            <w:pPr>
              <w:pStyle w:val="ConsPlusNormal"/>
              <w:jc w:val="center"/>
            </w:pPr>
            <w:r>
              <w:t xml:space="preserve">Объем программы магистратуры и ее блоков в </w:t>
            </w:r>
            <w:proofErr w:type="spellStart"/>
            <w:r>
              <w:t>з.е</w:t>
            </w:r>
            <w:proofErr w:type="spellEnd"/>
            <w:r>
              <w:t>.</w:t>
            </w:r>
          </w:p>
        </w:tc>
      </w:tr>
      <w:tr w:rsidR="00AA69B5">
        <w:tc>
          <w:tcPr>
            <w:tcW w:w="1417" w:type="dxa"/>
          </w:tcPr>
          <w:p w:rsidR="00AA69B5" w:rsidRDefault="00AA69B5">
            <w:pPr>
              <w:pStyle w:val="ConsPlusNormal"/>
              <w:jc w:val="center"/>
            </w:pPr>
            <w:bookmarkStart w:id="5" w:name="P104"/>
            <w:bookmarkEnd w:id="5"/>
            <w:r>
              <w:t>Блок 1</w:t>
            </w:r>
          </w:p>
        </w:tc>
        <w:tc>
          <w:tcPr>
            <w:tcW w:w="4025" w:type="dxa"/>
          </w:tcPr>
          <w:p w:rsidR="00AA69B5" w:rsidRDefault="00AA69B5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28" w:type="dxa"/>
          </w:tcPr>
          <w:p w:rsidR="00AA69B5" w:rsidRDefault="00AA69B5">
            <w:pPr>
              <w:pStyle w:val="ConsPlusNormal"/>
              <w:jc w:val="center"/>
            </w:pPr>
            <w:r>
              <w:t>не менее 70</w:t>
            </w:r>
          </w:p>
        </w:tc>
      </w:tr>
      <w:tr w:rsidR="00AA69B5">
        <w:tc>
          <w:tcPr>
            <w:tcW w:w="1417" w:type="dxa"/>
          </w:tcPr>
          <w:p w:rsidR="00AA69B5" w:rsidRDefault="00AA69B5">
            <w:pPr>
              <w:pStyle w:val="ConsPlusNormal"/>
              <w:jc w:val="center"/>
            </w:pPr>
            <w:bookmarkStart w:id="6" w:name="P107"/>
            <w:bookmarkEnd w:id="6"/>
            <w:r>
              <w:lastRenderedPageBreak/>
              <w:t>Блок 2</w:t>
            </w:r>
          </w:p>
        </w:tc>
        <w:tc>
          <w:tcPr>
            <w:tcW w:w="4025" w:type="dxa"/>
          </w:tcPr>
          <w:p w:rsidR="00AA69B5" w:rsidRDefault="00AA69B5">
            <w:pPr>
              <w:pStyle w:val="ConsPlusNormal"/>
            </w:pPr>
            <w:r>
              <w:t>Практика</w:t>
            </w:r>
          </w:p>
        </w:tc>
        <w:tc>
          <w:tcPr>
            <w:tcW w:w="3628" w:type="dxa"/>
          </w:tcPr>
          <w:p w:rsidR="00AA69B5" w:rsidRDefault="00AA69B5">
            <w:pPr>
              <w:pStyle w:val="ConsPlusNormal"/>
              <w:jc w:val="center"/>
            </w:pPr>
            <w:r>
              <w:t>не менее 21</w:t>
            </w:r>
          </w:p>
        </w:tc>
      </w:tr>
      <w:tr w:rsidR="00AA69B5">
        <w:tc>
          <w:tcPr>
            <w:tcW w:w="1417" w:type="dxa"/>
          </w:tcPr>
          <w:p w:rsidR="00AA69B5" w:rsidRDefault="00AA69B5">
            <w:pPr>
              <w:pStyle w:val="ConsPlusNormal"/>
              <w:jc w:val="center"/>
            </w:pPr>
            <w:bookmarkStart w:id="7" w:name="P110"/>
            <w:bookmarkEnd w:id="7"/>
            <w:r>
              <w:t>Блок 3</w:t>
            </w:r>
          </w:p>
        </w:tc>
        <w:tc>
          <w:tcPr>
            <w:tcW w:w="4025" w:type="dxa"/>
          </w:tcPr>
          <w:p w:rsidR="00AA69B5" w:rsidRDefault="00AA69B5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28" w:type="dxa"/>
          </w:tcPr>
          <w:p w:rsidR="00AA69B5" w:rsidRDefault="00AA69B5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AA69B5">
        <w:tc>
          <w:tcPr>
            <w:tcW w:w="5442" w:type="dxa"/>
            <w:gridSpan w:val="2"/>
          </w:tcPr>
          <w:p w:rsidR="00AA69B5" w:rsidRDefault="00AA69B5">
            <w:pPr>
              <w:pStyle w:val="ConsPlusNormal"/>
              <w:ind w:firstLine="283"/>
              <w:jc w:val="both"/>
            </w:pPr>
            <w:r>
              <w:t>Объем программы магистратуры</w:t>
            </w:r>
          </w:p>
        </w:tc>
        <w:tc>
          <w:tcPr>
            <w:tcW w:w="3628" w:type="dxa"/>
          </w:tcPr>
          <w:p w:rsidR="00AA69B5" w:rsidRDefault="00AA69B5">
            <w:pPr>
              <w:pStyle w:val="ConsPlusNormal"/>
              <w:jc w:val="center"/>
            </w:pPr>
            <w:r>
              <w:t>120</w:t>
            </w:r>
          </w:p>
        </w:tc>
      </w:tr>
    </w:tbl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ind w:firstLine="540"/>
        <w:jc w:val="both"/>
      </w:pPr>
      <w:bookmarkStart w:id="8" w:name="P116"/>
      <w:bookmarkEnd w:id="8"/>
      <w:r>
        <w:t xml:space="preserve">2.2. В </w:t>
      </w:r>
      <w:hyperlink w:anchor="P107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6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2.4. Организация: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6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10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</w:t>
      </w:r>
      <w:bookmarkStart w:id="9" w:name="_GoBack"/>
      <w:bookmarkEnd w:id="9"/>
      <w:r>
        <w:t>ая часть и часть, формируемая участниками образовательных отношений.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AA69B5" w:rsidRDefault="00AA69B5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AA69B5" w:rsidRDefault="00AA69B5">
      <w:pPr>
        <w:pStyle w:val="ConsPlusNormal"/>
        <w:spacing w:before="220"/>
        <w:ind w:firstLine="540"/>
        <w:jc w:val="both"/>
      </w:pPr>
      <w:r>
        <w:lastRenderedPageBreak/>
        <w:t>Объем обязательной части без учета объема государственной итоговой аттестации должен составлять не менее 40 процентов общего объема программы магистратуры.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2.8.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AA69B5" w:rsidRDefault="00AA69B5">
      <w:pPr>
        <w:pStyle w:val="ConsPlusTitle"/>
        <w:jc w:val="center"/>
      </w:pPr>
      <w:r>
        <w:t>программы магистратуры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AA69B5" w:rsidRDefault="00AA69B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6576"/>
      </w:tblGrid>
      <w:tr w:rsidR="00AA69B5">
        <w:tc>
          <w:tcPr>
            <w:tcW w:w="2494" w:type="dxa"/>
          </w:tcPr>
          <w:p w:rsidR="00AA69B5" w:rsidRDefault="00AA69B5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576" w:type="dxa"/>
          </w:tcPr>
          <w:p w:rsidR="00AA69B5" w:rsidRDefault="00AA69B5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AA69B5">
        <w:tc>
          <w:tcPr>
            <w:tcW w:w="2494" w:type="dxa"/>
            <w:vAlign w:val="center"/>
          </w:tcPr>
          <w:p w:rsidR="00AA69B5" w:rsidRDefault="00AA69B5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576" w:type="dxa"/>
          </w:tcPr>
          <w:p w:rsidR="00AA69B5" w:rsidRDefault="00AA69B5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AA69B5">
        <w:tc>
          <w:tcPr>
            <w:tcW w:w="2494" w:type="dxa"/>
            <w:vAlign w:val="center"/>
          </w:tcPr>
          <w:p w:rsidR="00AA69B5" w:rsidRDefault="00AA69B5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576" w:type="dxa"/>
          </w:tcPr>
          <w:p w:rsidR="00AA69B5" w:rsidRDefault="00AA69B5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AA69B5">
        <w:tc>
          <w:tcPr>
            <w:tcW w:w="2494" w:type="dxa"/>
            <w:vAlign w:val="center"/>
          </w:tcPr>
          <w:p w:rsidR="00AA69B5" w:rsidRDefault="00AA69B5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576" w:type="dxa"/>
          </w:tcPr>
          <w:p w:rsidR="00AA69B5" w:rsidRDefault="00AA69B5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AA69B5">
        <w:tc>
          <w:tcPr>
            <w:tcW w:w="2494" w:type="dxa"/>
            <w:vAlign w:val="center"/>
          </w:tcPr>
          <w:p w:rsidR="00AA69B5" w:rsidRDefault="00AA69B5">
            <w:pPr>
              <w:pStyle w:val="ConsPlusNormal"/>
            </w:pPr>
            <w:r>
              <w:t>Коммуникация</w:t>
            </w:r>
          </w:p>
        </w:tc>
        <w:tc>
          <w:tcPr>
            <w:tcW w:w="6576" w:type="dxa"/>
          </w:tcPr>
          <w:p w:rsidR="00AA69B5" w:rsidRDefault="00AA69B5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spellStart"/>
            <w:proofErr w:type="gramEnd"/>
            <w:r>
              <w:t>ых</w:t>
            </w:r>
            <w:proofErr w:type="spellEnd"/>
            <w:r>
              <w:t>) языке(ах), для академического и профессионального взаимодействия</w:t>
            </w:r>
          </w:p>
        </w:tc>
      </w:tr>
      <w:tr w:rsidR="00AA69B5">
        <w:tc>
          <w:tcPr>
            <w:tcW w:w="2494" w:type="dxa"/>
            <w:vAlign w:val="center"/>
          </w:tcPr>
          <w:p w:rsidR="00AA69B5" w:rsidRDefault="00AA69B5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576" w:type="dxa"/>
          </w:tcPr>
          <w:p w:rsidR="00AA69B5" w:rsidRDefault="00AA69B5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AA69B5">
        <w:tc>
          <w:tcPr>
            <w:tcW w:w="2494" w:type="dxa"/>
            <w:vAlign w:val="center"/>
          </w:tcPr>
          <w:p w:rsidR="00AA69B5" w:rsidRDefault="00AA69B5">
            <w:pPr>
              <w:pStyle w:val="ConsPlusNormal"/>
            </w:pPr>
            <w:r>
              <w:t xml:space="preserve">Самоорганизация и саморазвитие (в том числе </w:t>
            </w:r>
            <w:proofErr w:type="spellStart"/>
            <w:r>
              <w:t>здоровьесбережение</w:t>
            </w:r>
            <w:proofErr w:type="spellEnd"/>
            <w:r>
              <w:t>)</w:t>
            </w:r>
          </w:p>
        </w:tc>
        <w:tc>
          <w:tcPr>
            <w:tcW w:w="6576" w:type="dxa"/>
          </w:tcPr>
          <w:p w:rsidR="00AA69B5" w:rsidRDefault="00AA69B5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формулировать цели и задачи исследования, выявлять приоритеты решения задач, выбирать и создавать критерии оценки результатов исследований;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осуществлять экспертизу технической документации в сфере своей профессиональной деятельности;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организовывать работу по совершенствованию, модернизации и унификации выпускаемых изделий и их элементов;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ОПК-4. Способен разрабатывать методические и нормативные документы, в том </w:t>
      </w:r>
      <w:proofErr w:type="gramStart"/>
      <w:r>
        <w:t>числе</w:t>
      </w:r>
      <w:proofErr w:type="gramEnd"/>
      <w:r>
        <w:t xml:space="preserve"> проекты стандартов и сертификатов, с учетом действующих стандартов качества, обеспечивать их внедрение на производстве;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lastRenderedPageBreak/>
        <w:t xml:space="preserve">ОПК-5. </w:t>
      </w:r>
      <w:proofErr w:type="gramStart"/>
      <w:r>
        <w:t>Способен</w:t>
      </w:r>
      <w:proofErr w:type="gramEnd"/>
      <w:r>
        <w:t xml:space="preserve"> разрабатывать аналитические и численные методы при создании математических моделей машин, приводов, оборудования, систем, технологических процессов;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осуществлять научно-исследовательскую деятельность, используя современные информационно-коммуникационные технологии, глобальные информационные ресурсы;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проводить маркетинговые исследования и осуществлять подготовку бизнес-планов выпуска и реализации перспективных и конкурентоспособных изделий в области машиностроения;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ОПК-8. Способен осуществлять анализ проектов стандартов, рационализаторских предложений и изобретений в области машиностроения подготавливать отзывы и заключения по их оценке;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ОПК-9. </w:t>
      </w:r>
      <w:proofErr w:type="gramStart"/>
      <w:r>
        <w:t>Способен</w:t>
      </w:r>
      <w:proofErr w:type="gramEnd"/>
      <w:r>
        <w:t xml:space="preserve"> представлять результаты исследования в области машиностроения в виде научно-технических отчетов и публикаций;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ОПК-10. </w:t>
      </w:r>
      <w:proofErr w:type="gramStart"/>
      <w:r>
        <w:t>Способен</w:t>
      </w:r>
      <w:proofErr w:type="gramEnd"/>
      <w:r>
        <w:t xml:space="preserve"> разрабатывать методы стандартных испытаний по определению технологических показателей автоматизированного производственного оборудования;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ОПК-11. </w:t>
      </w:r>
      <w:proofErr w:type="gramStart"/>
      <w:r>
        <w:t>Способен</w:t>
      </w:r>
      <w:proofErr w:type="gramEnd"/>
      <w:r>
        <w:t xml:space="preserve"> разрабатывать современные методы исследования автоматизированного оборудования в машиностроении;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ОПК-12. </w:t>
      </w:r>
      <w:proofErr w:type="gramStart"/>
      <w:r>
        <w:t>Способен</w:t>
      </w:r>
      <w:proofErr w:type="gramEnd"/>
      <w:r>
        <w:t xml:space="preserve"> разрабатывать и оптимизировать алгоритмы и современные цифровые системы автоматизированного проектирования технологических процессов, создавать программы изготовления деталей и узлов различной сложности на станках с числовым программным управлением, проектировать алгоритмы функционирования гибких производственных систем.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AA69B5" w:rsidRDefault="00AA69B5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56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A69B5" w:rsidRDefault="00AA69B5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9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0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</w:t>
      </w:r>
      <w:r>
        <w:lastRenderedPageBreak/>
        <w:t>регистрационный N 28534).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5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8" w:history="1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104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0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lastRenderedPageBreak/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A69B5" w:rsidRDefault="00AA69B5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1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24, ст. 3751), Федеральный закон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50, ст. 8074).</w:t>
      </w:r>
      <w:proofErr w:type="gramEnd"/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lastRenderedPageBreak/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2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определяется в рамках системы внутренней оценки, а также системы внешней оценки, в </w:t>
      </w:r>
      <w:r>
        <w:lastRenderedPageBreak/>
        <w:t>которой Организация принимает участие на добровольной основе.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AA69B5" w:rsidRDefault="00AA69B5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jc w:val="right"/>
        <w:outlineLvl w:val="1"/>
      </w:pPr>
      <w:r>
        <w:t>Приложение</w:t>
      </w:r>
    </w:p>
    <w:p w:rsidR="00AA69B5" w:rsidRDefault="00AA69B5">
      <w:pPr>
        <w:pStyle w:val="ConsPlusNormal"/>
        <w:jc w:val="right"/>
      </w:pPr>
      <w:r>
        <w:t>к федеральному государственному</w:t>
      </w:r>
    </w:p>
    <w:p w:rsidR="00AA69B5" w:rsidRDefault="00AA69B5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AA69B5" w:rsidRDefault="00AA69B5">
      <w:pPr>
        <w:pStyle w:val="ConsPlusNormal"/>
        <w:jc w:val="right"/>
      </w:pPr>
      <w:r>
        <w:t>образования - магистратура</w:t>
      </w:r>
    </w:p>
    <w:p w:rsidR="00AA69B5" w:rsidRDefault="00AA69B5">
      <w:pPr>
        <w:pStyle w:val="ConsPlusNormal"/>
        <w:jc w:val="right"/>
      </w:pPr>
      <w:r>
        <w:t>по направлению подготовки 15.04.04</w:t>
      </w:r>
    </w:p>
    <w:p w:rsidR="00AA69B5" w:rsidRDefault="00AA69B5">
      <w:pPr>
        <w:pStyle w:val="ConsPlusNormal"/>
        <w:jc w:val="right"/>
      </w:pPr>
      <w:r>
        <w:t xml:space="preserve">Автоматизация </w:t>
      </w:r>
      <w:proofErr w:type="gramStart"/>
      <w:r>
        <w:t>технологических</w:t>
      </w:r>
      <w:proofErr w:type="gramEnd"/>
    </w:p>
    <w:p w:rsidR="00AA69B5" w:rsidRDefault="00AA69B5">
      <w:pPr>
        <w:pStyle w:val="ConsPlusNormal"/>
        <w:jc w:val="right"/>
      </w:pPr>
      <w:r>
        <w:t>процессов и производств,</w:t>
      </w:r>
    </w:p>
    <w:p w:rsidR="00AA69B5" w:rsidRDefault="00AA69B5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AA69B5" w:rsidRDefault="00AA69B5">
      <w:pPr>
        <w:pStyle w:val="ConsPlusNormal"/>
        <w:jc w:val="right"/>
      </w:pPr>
      <w:r>
        <w:t>Министерства науки и высшего</w:t>
      </w:r>
    </w:p>
    <w:p w:rsidR="00AA69B5" w:rsidRDefault="00AA69B5">
      <w:pPr>
        <w:pStyle w:val="ConsPlusNormal"/>
        <w:jc w:val="right"/>
      </w:pPr>
      <w:r>
        <w:t>образования Российской Федерации</w:t>
      </w:r>
    </w:p>
    <w:p w:rsidR="00AA69B5" w:rsidRDefault="00AA69B5">
      <w:pPr>
        <w:pStyle w:val="ConsPlusNormal"/>
        <w:jc w:val="right"/>
      </w:pPr>
      <w:r>
        <w:t>от 25 ноября 2020 г. N 1452</w:t>
      </w: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Title"/>
        <w:jc w:val="center"/>
      </w:pPr>
      <w:bookmarkStart w:id="10" w:name="P256"/>
      <w:bookmarkEnd w:id="10"/>
      <w:r>
        <w:t>ПЕРЕЧЕНЬ</w:t>
      </w:r>
    </w:p>
    <w:p w:rsidR="00AA69B5" w:rsidRDefault="00AA69B5">
      <w:pPr>
        <w:pStyle w:val="ConsPlusTitle"/>
        <w:jc w:val="center"/>
      </w:pPr>
      <w:r>
        <w:t>ПРОФЕССИОНАЛЬНЫХ СТАНДАРТОВ, СООТВЕТСТВУЮЩИХ</w:t>
      </w:r>
    </w:p>
    <w:p w:rsidR="00AA69B5" w:rsidRDefault="00AA69B5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AA69B5" w:rsidRDefault="00AA69B5">
      <w:pPr>
        <w:pStyle w:val="ConsPlusTitle"/>
        <w:jc w:val="center"/>
      </w:pPr>
      <w:r>
        <w:t>ПРОГРАММУ МАГИСТРАТУРЫ ПО НАПРАВЛЕНИЮ ПОДГОТОВКИ 15.04.04</w:t>
      </w:r>
    </w:p>
    <w:p w:rsidR="00AA69B5" w:rsidRDefault="00AA69B5">
      <w:pPr>
        <w:pStyle w:val="ConsPlusTitle"/>
        <w:jc w:val="center"/>
      </w:pPr>
      <w:r>
        <w:t>АВТОМАТИЗАЦИЯ ТЕХНОЛОГИЧЕСКИХ ПРОЦЕССОВ И ПРОИЗВОДСТВ</w:t>
      </w:r>
    </w:p>
    <w:p w:rsidR="00AA69B5" w:rsidRDefault="00AA69B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"/>
        <w:gridCol w:w="2381"/>
        <w:gridCol w:w="6236"/>
      </w:tblGrid>
      <w:tr w:rsidR="00AA69B5">
        <w:tc>
          <w:tcPr>
            <w:tcW w:w="453" w:type="dxa"/>
          </w:tcPr>
          <w:p w:rsidR="00AA69B5" w:rsidRDefault="00AA69B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81" w:type="dxa"/>
          </w:tcPr>
          <w:p w:rsidR="00AA69B5" w:rsidRDefault="00AA69B5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236" w:type="dxa"/>
          </w:tcPr>
          <w:p w:rsidR="00AA69B5" w:rsidRDefault="00AA69B5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AA69B5">
        <w:tc>
          <w:tcPr>
            <w:tcW w:w="9070" w:type="dxa"/>
            <w:gridSpan w:val="3"/>
          </w:tcPr>
          <w:p w:rsidR="00AA69B5" w:rsidRDefault="00AA69B5">
            <w:pPr>
              <w:pStyle w:val="ConsPlusNormal"/>
              <w:jc w:val="center"/>
              <w:outlineLvl w:val="2"/>
            </w:pPr>
            <w:hyperlink r:id="rId23" w:history="1">
              <w:r>
                <w:rPr>
                  <w:color w:val="0000FF"/>
                </w:rPr>
                <w:t>28</w:t>
              </w:r>
            </w:hyperlink>
            <w:r>
              <w:t xml:space="preserve"> Производство машин и оборудования</w:t>
            </w:r>
          </w:p>
        </w:tc>
      </w:tr>
      <w:tr w:rsidR="00AA69B5">
        <w:tc>
          <w:tcPr>
            <w:tcW w:w="453" w:type="dxa"/>
            <w:vAlign w:val="center"/>
          </w:tcPr>
          <w:p w:rsidR="00AA69B5" w:rsidRDefault="00AA69B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81" w:type="dxa"/>
            <w:vAlign w:val="center"/>
          </w:tcPr>
          <w:p w:rsidR="00AA69B5" w:rsidRDefault="00AA69B5">
            <w:pPr>
              <w:pStyle w:val="ConsPlusNormal"/>
              <w:jc w:val="center"/>
            </w:pPr>
            <w:r>
              <w:t>28.008</w:t>
            </w:r>
          </w:p>
        </w:tc>
        <w:tc>
          <w:tcPr>
            <w:tcW w:w="6236" w:type="dxa"/>
          </w:tcPr>
          <w:p w:rsidR="00AA69B5" w:rsidRDefault="00AA69B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инжинирингу машиностроительного производства", утвержденный приказом Министерства труда и социальной защиты Российской Федерации от 30 сентября 2020 г. N 681н (зарегистрирован Министерством юстиции Российской Федерации 26 октября 2020 г., регистрационный N 60581)</w:t>
            </w:r>
          </w:p>
        </w:tc>
      </w:tr>
      <w:tr w:rsidR="00AA69B5">
        <w:tc>
          <w:tcPr>
            <w:tcW w:w="9070" w:type="dxa"/>
            <w:gridSpan w:val="3"/>
          </w:tcPr>
          <w:p w:rsidR="00AA69B5" w:rsidRDefault="00AA69B5">
            <w:pPr>
              <w:pStyle w:val="ConsPlusNormal"/>
              <w:jc w:val="center"/>
              <w:outlineLvl w:val="2"/>
            </w:pPr>
            <w:hyperlink r:id="rId25" w:history="1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AA69B5">
        <w:tc>
          <w:tcPr>
            <w:tcW w:w="453" w:type="dxa"/>
            <w:vAlign w:val="center"/>
          </w:tcPr>
          <w:p w:rsidR="00AA69B5" w:rsidRDefault="00AA69B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381" w:type="dxa"/>
            <w:vAlign w:val="center"/>
          </w:tcPr>
          <w:p w:rsidR="00AA69B5" w:rsidRDefault="00AA69B5">
            <w:pPr>
              <w:pStyle w:val="ConsPlusNormal"/>
              <w:jc w:val="center"/>
            </w:pPr>
            <w:r>
              <w:t>40.013</w:t>
            </w:r>
          </w:p>
        </w:tc>
        <w:tc>
          <w:tcPr>
            <w:tcW w:w="6236" w:type="dxa"/>
          </w:tcPr>
          <w:p w:rsidR="00AA69B5" w:rsidRDefault="00AA69B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технологий и программ для станков с числовым программным управлением", утвержденный приказом Министерства труда и социальной защиты Российской Федерации от 13 марта 2017 г. N 277н (зарегистрирован Министерством юстиции Российской Федерации 4 мая 2017 г., регистрационный N 46603)</w:t>
            </w:r>
          </w:p>
        </w:tc>
      </w:tr>
      <w:tr w:rsidR="00AA69B5">
        <w:tc>
          <w:tcPr>
            <w:tcW w:w="453" w:type="dxa"/>
            <w:vAlign w:val="center"/>
          </w:tcPr>
          <w:p w:rsidR="00AA69B5" w:rsidRDefault="00AA69B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381" w:type="dxa"/>
            <w:vAlign w:val="center"/>
          </w:tcPr>
          <w:p w:rsidR="00AA69B5" w:rsidRDefault="00AA69B5">
            <w:pPr>
              <w:pStyle w:val="ConsPlusNormal"/>
              <w:jc w:val="center"/>
            </w:pPr>
            <w:r>
              <w:t>40.074</w:t>
            </w:r>
          </w:p>
        </w:tc>
        <w:tc>
          <w:tcPr>
            <w:tcW w:w="6236" w:type="dxa"/>
          </w:tcPr>
          <w:p w:rsidR="00AA69B5" w:rsidRDefault="00AA69B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внедрению новой техники и технологий кузнечно-штамповочного производства", утвержденный приказом Министерства труда и социальной защиты Российской Федерации от 28 сентября 2020 г. N 657н (зарегистрирован Министерством юстиции Российской Федерации 22 октября 2020 г., регистрационный N 60504)</w:t>
            </w:r>
          </w:p>
        </w:tc>
      </w:tr>
      <w:tr w:rsidR="00AA69B5">
        <w:tc>
          <w:tcPr>
            <w:tcW w:w="453" w:type="dxa"/>
            <w:vAlign w:val="center"/>
          </w:tcPr>
          <w:p w:rsidR="00AA69B5" w:rsidRDefault="00AA69B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381" w:type="dxa"/>
            <w:vAlign w:val="center"/>
          </w:tcPr>
          <w:p w:rsidR="00AA69B5" w:rsidRDefault="00AA69B5">
            <w:pPr>
              <w:pStyle w:val="ConsPlusNormal"/>
              <w:jc w:val="center"/>
            </w:pPr>
            <w:r>
              <w:t>40.082</w:t>
            </w:r>
          </w:p>
        </w:tc>
        <w:tc>
          <w:tcPr>
            <w:tcW w:w="6236" w:type="dxa"/>
          </w:tcPr>
          <w:p w:rsidR="00AA69B5" w:rsidRDefault="00AA69B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внедрению новой техники и технологий в литейном производстве", утвержденный приказом Министерства труда и социальной защиты Российской Федерации от 22 октября 2020 г. N 740н (зарегистрирован Министерством юстиции Российской Федерации 19 ноября 2020 г., регистрационный N 60995)</w:t>
            </w:r>
          </w:p>
        </w:tc>
      </w:tr>
      <w:tr w:rsidR="00AA69B5">
        <w:tc>
          <w:tcPr>
            <w:tcW w:w="453" w:type="dxa"/>
            <w:vAlign w:val="center"/>
          </w:tcPr>
          <w:p w:rsidR="00AA69B5" w:rsidRDefault="00AA69B5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381" w:type="dxa"/>
            <w:vAlign w:val="center"/>
          </w:tcPr>
          <w:p w:rsidR="00AA69B5" w:rsidRDefault="00AA69B5">
            <w:pPr>
              <w:pStyle w:val="ConsPlusNormal"/>
              <w:jc w:val="center"/>
            </w:pPr>
            <w:r>
              <w:t>40.083</w:t>
            </w:r>
          </w:p>
        </w:tc>
        <w:tc>
          <w:tcPr>
            <w:tcW w:w="6236" w:type="dxa"/>
          </w:tcPr>
          <w:p w:rsidR="00AA69B5" w:rsidRDefault="00AA69B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автоматизированному проектированию технологических процессов", утвержденный приказом Министерства труда и социальной защиты Российской Федерации от 3 июля 2019 г. N 478н (зарегистрирован Министерством юстиции Российской Федерации 29 июля 2019 г., регистрационный N 55441)</w:t>
            </w:r>
          </w:p>
        </w:tc>
      </w:tr>
      <w:tr w:rsidR="00AA69B5">
        <w:tc>
          <w:tcPr>
            <w:tcW w:w="453" w:type="dxa"/>
            <w:vAlign w:val="center"/>
          </w:tcPr>
          <w:p w:rsidR="00AA69B5" w:rsidRDefault="00AA69B5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381" w:type="dxa"/>
            <w:vAlign w:val="center"/>
          </w:tcPr>
          <w:p w:rsidR="00AA69B5" w:rsidRDefault="00AA69B5">
            <w:pPr>
              <w:pStyle w:val="ConsPlusNormal"/>
              <w:jc w:val="center"/>
            </w:pPr>
            <w:r>
              <w:t>40.089</w:t>
            </w:r>
          </w:p>
        </w:tc>
        <w:tc>
          <w:tcPr>
            <w:tcW w:w="6236" w:type="dxa"/>
          </w:tcPr>
          <w:p w:rsidR="00AA69B5" w:rsidRDefault="00AA69B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автоматизированной разработке технологий и программ для станков с числовым программным управлением", утвержденный приказом Министерства труда и социальной защиты Российской Федерации от 2 июля 2019 г. N 463н (зарегистрирован Министерством юстиции Российской Федерации 26 июля 2019 г., регистрационный N 55408)</w:t>
            </w:r>
          </w:p>
        </w:tc>
      </w:tr>
      <w:tr w:rsidR="00AA69B5">
        <w:tc>
          <w:tcPr>
            <w:tcW w:w="453" w:type="dxa"/>
            <w:vAlign w:val="center"/>
          </w:tcPr>
          <w:p w:rsidR="00AA69B5" w:rsidRDefault="00AA69B5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381" w:type="dxa"/>
            <w:vAlign w:val="center"/>
          </w:tcPr>
          <w:p w:rsidR="00AA69B5" w:rsidRDefault="00AA69B5">
            <w:pPr>
              <w:pStyle w:val="ConsPlusNormal"/>
              <w:jc w:val="center"/>
            </w:pPr>
            <w:r>
              <w:t>40.148</w:t>
            </w:r>
          </w:p>
        </w:tc>
        <w:tc>
          <w:tcPr>
            <w:tcW w:w="6236" w:type="dxa"/>
          </w:tcPr>
          <w:p w:rsidR="00AA69B5" w:rsidRDefault="00AA69B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гибких производственных систем в машиностроении", утвержденный приказом Министерства труда и социальной защиты Российской Федерации от 1 февраля 2017 г. N 114н (зарегистрирован Министерством юстиции Российской Федерации 22 февраля 2017 г., регистрационный N 45755)</w:t>
            </w:r>
          </w:p>
        </w:tc>
      </w:tr>
      <w:tr w:rsidR="00AA69B5">
        <w:tc>
          <w:tcPr>
            <w:tcW w:w="453" w:type="dxa"/>
            <w:vAlign w:val="center"/>
          </w:tcPr>
          <w:p w:rsidR="00AA69B5" w:rsidRDefault="00AA69B5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381" w:type="dxa"/>
            <w:vAlign w:val="center"/>
          </w:tcPr>
          <w:p w:rsidR="00AA69B5" w:rsidRDefault="00AA69B5">
            <w:pPr>
              <w:pStyle w:val="ConsPlusNormal"/>
              <w:jc w:val="center"/>
            </w:pPr>
            <w:r>
              <w:t>40.152</w:t>
            </w:r>
          </w:p>
        </w:tc>
        <w:tc>
          <w:tcPr>
            <w:tcW w:w="6236" w:type="dxa"/>
          </w:tcPr>
          <w:p w:rsidR="00AA69B5" w:rsidRDefault="00AA69B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гибких производственных систем в машиностроении", утвержденный приказом Министерства труда и социальной защиты Российской Федерации от 1 февраля 2017 г. N 117н (зарегистрирован Министерством юстиции Российской Федерации 27 февраля 2017 г., регистрационный N 45783)</w:t>
            </w:r>
          </w:p>
        </w:tc>
      </w:tr>
    </w:tbl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jc w:val="both"/>
      </w:pPr>
    </w:p>
    <w:p w:rsidR="00AA69B5" w:rsidRDefault="00AA69B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111B8" w:rsidRDefault="003111B8"/>
    <w:sectPr w:rsidR="003111B8" w:rsidSect="00AA69B5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9B5"/>
    <w:rsid w:val="003111B8"/>
    <w:rsid w:val="00AA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69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A69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A69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6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9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69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A69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A69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6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9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F3AF469AD3C158106F239FA5A0BED5DB0D8EAFCD83523A61020A3766F4627E8243346FA5287AA9622D92065EA4D3B842A0BA61337C5CDBS5W1I" TargetMode="External"/><Relationship Id="rId13" Type="http://schemas.openxmlformats.org/officeDocument/2006/relationships/hyperlink" Target="consultantplus://offline/ref=4DF3AF469AD3C158106F239FA5A0BED5D80582ADCD86523A61020A3766F4627E8243346FA5287AA1622D92065EA4D3B842A0BA61337C5CDBS5W1I" TargetMode="External"/><Relationship Id="rId18" Type="http://schemas.openxmlformats.org/officeDocument/2006/relationships/hyperlink" Target="consultantplus://offline/ref=4DF3AF469AD3C158106F239FA5A0BED5D80582ADCD86523A61020A3766F4627E8243346FA5287BA9602D92065EA4D3B842A0BA61337C5CDBS5W1I" TargetMode="External"/><Relationship Id="rId26" Type="http://schemas.openxmlformats.org/officeDocument/2006/relationships/hyperlink" Target="consultantplus://offline/ref=4DF3AF469AD3C158106F239FA5A0BED5D80580AFCB87523A61020A3766F4627E90436C63A72D64A86438C45718SFW0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DF3AF469AD3C158106F239FA5A0BED5D90385A9C781523A61020A3766F4627E90436C63A72D64A86438C45718SFW0I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4DF3AF469AD3C158106F239FA5A0BED5D90684ACCF80523A61020A3766F4627E8243346FA5287AAF642D92065EA4D3B842A0BA61337C5CDBS5W1I" TargetMode="External"/><Relationship Id="rId12" Type="http://schemas.openxmlformats.org/officeDocument/2006/relationships/hyperlink" Target="consultantplus://offline/ref=4DF3AF469AD3C158106F239FA5A0BED5D80582ADCD86523A61020A3766F4627E8243346FA5287AA06E2D92065EA4D3B842A0BA61337C5CDBS5W1I" TargetMode="External"/><Relationship Id="rId17" Type="http://schemas.openxmlformats.org/officeDocument/2006/relationships/hyperlink" Target="consultantplus://offline/ref=4DF3AF469AD3C158106F239FA5A0BED5D80582ADCD86523A61020A3766F4627E8243346FA5287BA9662D92065EA4D3B842A0BA61337C5CDBS5W1I" TargetMode="External"/><Relationship Id="rId25" Type="http://schemas.openxmlformats.org/officeDocument/2006/relationships/hyperlink" Target="consultantplus://offline/ref=4DF3AF469AD3C158106F239FA5A0BED5D80582ADCD86523A61020A3766F4627E8243346FA5287BA9602D92065EA4D3B842A0BA61337C5CDBS5W1I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DF3AF469AD3C158106F239FA5A0BED5D80582ADCD86523A61020A3766F4627E8243346FA5287BA8622D92065EA4D3B842A0BA61337C5CDBS5W1I" TargetMode="External"/><Relationship Id="rId20" Type="http://schemas.openxmlformats.org/officeDocument/2006/relationships/hyperlink" Target="consultantplus://offline/ref=4DF3AF469AD3C158106F239FA5A0BED5DB0080A3C886523A61020A3766F4627E90436C63A72D64A86438C45718SFW0I" TargetMode="External"/><Relationship Id="rId29" Type="http://schemas.openxmlformats.org/officeDocument/2006/relationships/hyperlink" Target="consultantplus://offline/ref=4DF3AF469AD3C158106F239FA5A0BED5D90786ADCD87523A61020A3766F4627E90436C63A72D64A86438C45718SFW0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DF3AF469AD3C158106F239FA5A0BED5D90384A2CF80523A61020A3766F4627E8243346FA5287AAD6F2D92065EA4D3B842A0BA61337C5CDBS5W1I" TargetMode="External"/><Relationship Id="rId11" Type="http://schemas.openxmlformats.org/officeDocument/2006/relationships/hyperlink" Target="consultantplus://offline/ref=4DF3AF469AD3C158106F239FA5A0BED5D80582ADCD86523A61020A3766F4627E8243346FA5287AAD662D92065EA4D3B842A0BA61337C5CDBS5W1I" TargetMode="External"/><Relationship Id="rId24" Type="http://schemas.openxmlformats.org/officeDocument/2006/relationships/hyperlink" Target="consultantplus://offline/ref=4DF3AF469AD3C158106F239FA5A0BED5D90280A8CA85523A61020A3766F4627E90436C63A72D64A86438C45718SFW0I" TargetMode="External"/><Relationship Id="rId32" Type="http://schemas.openxmlformats.org/officeDocument/2006/relationships/hyperlink" Target="consultantplus://offline/ref=4DF3AF469AD3C158106F239FA5A0BED5D80585AFCE81523A61020A3766F4627E90436C63A72D64A86438C45718SFW0I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4DF3AF469AD3C158106F239FA5A0BED5D80582ADCD86523A61020A3766F4627E8243346FA5287AA16E2D92065EA4D3B842A0BA61337C5CDBS5W1I" TargetMode="External"/><Relationship Id="rId23" Type="http://schemas.openxmlformats.org/officeDocument/2006/relationships/hyperlink" Target="consultantplus://offline/ref=4DF3AF469AD3C158106F239FA5A0BED5D80582ADCD86523A61020A3766F4627E8243346FA5287BA8622D92065EA4D3B842A0BA61337C5CDBS5W1I" TargetMode="External"/><Relationship Id="rId28" Type="http://schemas.openxmlformats.org/officeDocument/2006/relationships/hyperlink" Target="consultantplus://offline/ref=4DF3AF469AD3C158106F239FA5A0BED5D9028EAFCB8E523A61020A3766F4627E90436C63A72D64A86438C45718SFW0I" TargetMode="External"/><Relationship Id="rId10" Type="http://schemas.openxmlformats.org/officeDocument/2006/relationships/hyperlink" Target="consultantplus://offline/ref=4DF3AF469AD3C158106F239FA5A0BED5D80582ADCD86523A61020A3766F4627E8243346FA5287AAC612D92065EA4D3B842A0BA61337C5CDBS5W1I" TargetMode="External"/><Relationship Id="rId19" Type="http://schemas.openxmlformats.org/officeDocument/2006/relationships/hyperlink" Target="consultantplus://offline/ref=4DF3AF469AD3C158106F239FA5A0BED5D80582ADCD86523A61020A3766F4627E8243346FA5287AA8602D92065EA4D3B842A0BA61337C5CDBS5W1I" TargetMode="External"/><Relationship Id="rId31" Type="http://schemas.openxmlformats.org/officeDocument/2006/relationships/hyperlink" Target="consultantplus://offline/ref=4DF3AF469AD3C158106F239FA5A0BED5D80585AECC8F523A61020A3766F4627E90436C63A72D64A86438C45718SFW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DF3AF469AD3C158106F239FA5A0BED5D90180AACF84523A61020A3766F4627E8243346FA52878AC6F2D92065EA4D3B842A0BA61337C5CDBS5W1I" TargetMode="External"/><Relationship Id="rId14" Type="http://schemas.openxmlformats.org/officeDocument/2006/relationships/hyperlink" Target="consultantplus://offline/ref=4DF3AF469AD3C158106F239FA5A0BED5D80582ADCD86523A61020A3766F4627E8243346FA5287AA1602D92065EA4D3B842A0BA61337C5CDBS5W1I" TargetMode="External"/><Relationship Id="rId22" Type="http://schemas.openxmlformats.org/officeDocument/2006/relationships/hyperlink" Target="consultantplus://offline/ref=4DF3AF469AD3C158106F239FA5A0BED5D90385AACB81523A61020A3766F4627E8243346FA52873AC612D92065EA4D3B842A0BA61337C5CDBS5W1I" TargetMode="External"/><Relationship Id="rId27" Type="http://schemas.openxmlformats.org/officeDocument/2006/relationships/hyperlink" Target="consultantplus://offline/ref=4DF3AF469AD3C158106F239FA5A0BED5D90280AACD87523A61020A3766F4627E90436C63A72D64A86438C45718SFW0I" TargetMode="External"/><Relationship Id="rId30" Type="http://schemas.openxmlformats.org/officeDocument/2006/relationships/hyperlink" Target="consultantplus://offline/ref=4DF3AF469AD3C158106F239FA5A0BED5D90786A9CC8F523A61020A3766F4627E90436C63A72D64A86438C45718SFW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5826</Words>
  <Characters>33210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2021-02-25T08:29:00Z</cp:lastPrinted>
  <dcterms:created xsi:type="dcterms:W3CDTF">2021-02-25T08:22:00Z</dcterms:created>
  <dcterms:modified xsi:type="dcterms:W3CDTF">2021-02-25T08:30:00Z</dcterms:modified>
</cp:coreProperties>
</file>