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110" w:rsidRDefault="007A6110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7A6110" w:rsidRDefault="007A6110">
      <w:pPr>
        <w:pStyle w:val="ConsPlusNormal"/>
        <w:jc w:val="both"/>
        <w:outlineLvl w:val="0"/>
      </w:pPr>
    </w:p>
    <w:p w:rsidR="007A6110" w:rsidRDefault="007A6110">
      <w:pPr>
        <w:pStyle w:val="ConsPlusNormal"/>
        <w:outlineLvl w:val="0"/>
      </w:pPr>
      <w:r>
        <w:t>Зарегистрировано в Минюсте России 25 августа 2016 г. N 43413</w:t>
      </w:r>
    </w:p>
    <w:p w:rsidR="007A6110" w:rsidRDefault="007A611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A6110" w:rsidRDefault="007A6110">
      <w:pPr>
        <w:pStyle w:val="ConsPlusNormal"/>
        <w:jc w:val="both"/>
      </w:pPr>
    </w:p>
    <w:p w:rsidR="007A6110" w:rsidRDefault="007A6110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7A6110" w:rsidRDefault="007A6110">
      <w:pPr>
        <w:pStyle w:val="ConsPlusTitle"/>
        <w:jc w:val="center"/>
      </w:pPr>
    </w:p>
    <w:p w:rsidR="007A6110" w:rsidRDefault="007A6110">
      <w:pPr>
        <w:pStyle w:val="ConsPlusTitle"/>
        <w:jc w:val="center"/>
      </w:pPr>
      <w:r>
        <w:t>ПРИКАЗ</w:t>
      </w:r>
    </w:p>
    <w:p w:rsidR="007A6110" w:rsidRDefault="007A6110">
      <w:pPr>
        <w:pStyle w:val="ConsPlusTitle"/>
        <w:jc w:val="center"/>
      </w:pPr>
      <w:r>
        <w:t>от 11 августа 2016 г. N 1022</w:t>
      </w:r>
    </w:p>
    <w:p w:rsidR="007A6110" w:rsidRDefault="007A6110">
      <w:pPr>
        <w:pStyle w:val="ConsPlusTitle"/>
        <w:jc w:val="center"/>
      </w:pPr>
    </w:p>
    <w:p w:rsidR="007A6110" w:rsidRDefault="007A6110">
      <w:pPr>
        <w:pStyle w:val="ConsPlusTitle"/>
        <w:jc w:val="center"/>
      </w:pPr>
      <w:r>
        <w:t>ОБ УТВЕРЖДЕНИИ</w:t>
      </w:r>
    </w:p>
    <w:p w:rsidR="007A6110" w:rsidRDefault="007A6110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7A6110" w:rsidRDefault="007A6110">
      <w:pPr>
        <w:pStyle w:val="ConsPlusTitle"/>
        <w:jc w:val="center"/>
      </w:pPr>
      <w:r>
        <w:t>ВЫСШЕГО ОБРАЗОВАНИЯ ПО СПЕЦИАЛЬНОСТИ 23.05.01 НАЗЕМНЫЕ</w:t>
      </w:r>
    </w:p>
    <w:p w:rsidR="007A6110" w:rsidRDefault="007A6110">
      <w:pPr>
        <w:pStyle w:val="ConsPlusTitle"/>
        <w:jc w:val="center"/>
      </w:pPr>
      <w:r>
        <w:t>ТРАНСПОРТНО-ТЕХНОЛОГИЧЕСКИЕ СРЕДСТВА (УРОВЕНЬ СПЕЦИАЛИТЕТА)</w:t>
      </w:r>
    </w:p>
    <w:p w:rsidR="007A6110" w:rsidRDefault="007A611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7A611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A6110" w:rsidRDefault="007A611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A6110" w:rsidRDefault="007A611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13.07.2017 N 653)</w:t>
            </w:r>
          </w:p>
        </w:tc>
      </w:tr>
    </w:tbl>
    <w:p w:rsidR="007A6110" w:rsidRDefault="007A6110">
      <w:pPr>
        <w:pStyle w:val="ConsPlusNormal"/>
        <w:jc w:val="center"/>
      </w:pPr>
    </w:p>
    <w:p w:rsidR="007A6110" w:rsidRDefault="007A6110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7" w:history="1">
        <w:r>
          <w:rPr>
            <w:color w:val="0000FF"/>
          </w:rPr>
          <w:t>подпунктом 5.2.41</w:t>
        </w:r>
      </w:hyperlink>
      <w:r>
        <w:t xml:space="preserve">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2016, N 2, ст. 325; N 8, ст. 1121; </w:t>
      </w:r>
      <w:proofErr w:type="gramStart"/>
      <w:r>
        <w:t xml:space="preserve">N 28, ст. 4741), и </w:t>
      </w:r>
      <w:hyperlink r:id="rId8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2230), приказываю:</w:t>
      </w:r>
      <w:proofErr w:type="gramEnd"/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7" w:history="1">
        <w:r>
          <w:rPr>
            <w:color w:val="0000FF"/>
          </w:rPr>
          <w:t>стандарт</w:t>
        </w:r>
      </w:hyperlink>
      <w:r>
        <w:t xml:space="preserve"> высшего образования по специальности 23.05.01 Наземные транспортно-технологические средства (уровень специалитета).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2. Признать утратившими силу:</w:t>
      </w:r>
    </w:p>
    <w:p w:rsidR="007A6110" w:rsidRDefault="007A6110">
      <w:pPr>
        <w:pStyle w:val="ConsPlusNormal"/>
        <w:spacing w:before="280"/>
        <w:ind w:firstLine="540"/>
        <w:jc w:val="both"/>
      </w:pPr>
      <w:hyperlink r:id="rId9" w:history="1">
        <w:r>
          <w:rPr>
            <w:color w:val="0000FF"/>
          </w:rPr>
          <w:t>приказ</w:t>
        </w:r>
      </w:hyperlink>
      <w:r>
        <w:t xml:space="preserve"> Министерства образования и науки Российской Федерации от 24 декабря 2010 г. N 2077 "Об утверждении и введении в действие федерального государственного образовательного стандарта высшего профессионального образования по направлению подготовки (специальности) 190109 Наземные </w:t>
      </w:r>
      <w:r>
        <w:lastRenderedPageBreak/>
        <w:t>транспортно-технологические средства (квалификация (степень) "специалист")" (зарегистрирован Министерством юстиции Российской Федерации 18 февраля 2011 г., регистрационный N 19897);</w:t>
      </w:r>
    </w:p>
    <w:p w:rsidR="007A6110" w:rsidRDefault="007A6110">
      <w:pPr>
        <w:pStyle w:val="ConsPlusNormal"/>
        <w:spacing w:before="280"/>
        <w:ind w:firstLine="540"/>
        <w:jc w:val="both"/>
      </w:pPr>
      <w:hyperlink r:id="rId10" w:history="1">
        <w:r>
          <w:rPr>
            <w:color w:val="0000FF"/>
          </w:rPr>
          <w:t>пункт 21</w:t>
        </w:r>
      </w:hyperlink>
      <w:r>
        <w:t xml:space="preserve"> изменений, которые вносятся в федеральные государственные образовательные стандарты высшего профессионального образования по направлениям подготовки (специальностям), подтверждаемого присвоением лицам квалификации (степени) "специалист", утвержденных приказом Министерства образования и науки Российской Федерации от 18 мая 2011 г. N 1657 (зарегистрирован Министерством юстиции Российской Федерации 1 июня 2011 г., регистрационный N 20902);</w:t>
      </w:r>
    </w:p>
    <w:p w:rsidR="007A6110" w:rsidRDefault="007A6110">
      <w:pPr>
        <w:pStyle w:val="ConsPlusNormal"/>
        <w:spacing w:before="280"/>
        <w:ind w:firstLine="540"/>
        <w:jc w:val="both"/>
      </w:pPr>
      <w:hyperlink r:id="rId11" w:history="1">
        <w:r>
          <w:rPr>
            <w:color w:val="0000FF"/>
          </w:rPr>
          <w:t>пункт 68</w:t>
        </w:r>
      </w:hyperlink>
      <w:r>
        <w:t xml:space="preserve"> изменений, которые вносятся в федеральные государственные образовательные стандарты высшего профессионального образования по направлениям подготовки (специальностям), подтверждаемого присвоением лицам квалификации (степени) "специалист", утвержденных приказом Министерства образования и науки Российской Федерации от 31 мая 2011 г. N 1975 (зарегистрирован Министерством юстиции Российской Федерации 28 июня 2011 г., регистрационный N 21200).</w:t>
      </w:r>
    </w:p>
    <w:p w:rsidR="007A6110" w:rsidRDefault="007A6110">
      <w:pPr>
        <w:pStyle w:val="ConsPlusNormal"/>
        <w:jc w:val="both"/>
      </w:pPr>
    </w:p>
    <w:p w:rsidR="007A6110" w:rsidRDefault="007A6110">
      <w:pPr>
        <w:pStyle w:val="ConsPlusNormal"/>
        <w:jc w:val="right"/>
      </w:pPr>
      <w:proofErr w:type="gramStart"/>
      <w:r>
        <w:t>Исполняющая</w:t>
      </w:r>
      <w:proofErr w:type="gramEnd"/>
      <w:r>
        <w:t xml:space="preserve"> обязанности Министра</w:t>
      </w:r>
    </w:p>
    <w:p w:rsidR="007A6110" w:rsidRDefault="007A6110">
      <w:pPr>
        <w:pStyle w:val="ConsPlusNormal"/>
        <w:jc w:val="right"/>
      </w:pPr>
      <w:r>
        <w:t>Н.В.ТРЕТЬЯК</w:t>
      </w:r>
    </w:p>
    <w:p w:rsidR="007A6110" w:rsidRDefault="007A6110">
      <w:pPr>
        <w:pStyle w:val="ConsPlusNormal"/>
        <w:jc w:val="both"/>
      </w:pPr>
    </w:p>
    <w:p w:rsidR="007A6110" w:rsidRDefault="007A6110">
      <w:pPr>
        <w:pStyle w:val="ConsPlusNormal"/>
        <w:jc w:val="both"/>
      </w:pPr>
    </w:p>
    <w:p w:rsidR="007A6110" w:rsidRDefault="007A6110">
      <w:pPr>
        <w:pStyle w:val="ConsPlusNormal"/>
        <w:jc w:val="both"/>
      </w:pPr>
    </w:p>
    <w:p w:rsidR="007A6110" w:rsidRDefault="007A6110">
      <w:pPr>
        <w:pStyle w:val="ConsPlusNormal"/>
        <w:jc w:val="both"/>
      </w:pPr>
    </w:p>
    <w:p w:rsidR="007A6110" w:rsidRDefault="007A6110">
      <w:pPr>
        <w:pStyle w:val="ConsPlusNormal"/>
        <w:jc w:val="both"/>
      </w:pPr>
    </w:p>
    <w:p w:rsidR="007A6110" w:rsidRDefault="007A6110">
      <w:pPr>
        <w:pStyle w:val="ConsPlusNormal"/>
        <w:jc w:val="right"/>
        <w:outlineLvl w:val="0"/>
      </w:pPr>
      <w:r>
        <w:t>Приложение</w:t>
      </w:r>
    </w:p>
    <w:p w:rsidR="007A6110" w:rsidRDefault="007A6110">
      <w:pPr>
        <w:pStyle w:val="ConsPlusNormal"/>
        <w:jc w:val="both"/>
      </w:pPr>
    </w:p>
    <w:p w:rsidR="007A6110" w:rsidRDefault="007A6110">
      <w:pPr>
        <w:pStyle w:val="ConsPlusNormal"/>
        <w:jc w:val="right"/>
      </w:pPr>
      <w:r>
        <w:t>Утвержден</w:t>
      </w:r>
    </w:p>
    <w:p w:rsidR="007A6110" w:rsidRDefault="007A6110">
      <w:pPr>
        <w:pStyle w:val="ConsPlusNormal"/>
        <w:jc w:val="right"/>
      </w:pPr>
      <w:r>
        <w:t>приказом Министерства образования</w:t>
      </w:r>
    </w:p>
    <w:p w:rsidR="007A6110" w:rsidRDefault="007A6110">
      <w:pPr>
        <w:pStyle w:val="ConsPlusNormal"/>
        <w:jc w:val="right"/>
      </w:pPr>
      <w:r>
        <w:t>и науки Российской Федерации</w:t>
      </w:r>
    </w:p>
    <w:p w:rsidR="007A6110" w:rsidRDefault="007A6110">
      <w:pPr>
        <w:pStyle w:val="ConsPlusNormal"/>
        <w:jc w:val="right"/>
      </w:pPr>
      <w:r>
        <w:t>от 11 августа 2016 г. N 1022</w:t>
      </w:r>
    </w:p>
    <w:p w:rsidR="007A6110" w:rsidRDefault="007A6110">
      <w:pPr>
        <w:pStyle w:val="ConsPlusNormal"/>
        <w:jc w:val="both"/>
      </w:pPr>
    </w:p>
    <w:p w:rsidR="007A6110" w:rsidRDefault="007A6110">
      <w:pPr>
        <w:pStyle w:val="ConsPlusTitle"/>
        <w:jc w:val="center"/>
      </w:pPr>
      <w:bookmarkStart w:id="0" w:name="P37"/>
      <w:bookmarkEnd w:id="0"/>
      <w:r>
        <w:t>ФЕДЕРАЛЬНЫЙ ГОСУДАРСТВЕННЫЙ ОБРАЗОВАТЕЛЬНЫЙ</w:t>
      </w:r>
    </w:p>
    <w:p w:rsidR="007A6110" w:rsidRDefault="007A6110">
      <w:pPr>
        <w:pStyle w:val="ConsPlusTitle"/>
        <w:jc w:val="center"/>
      </w:pPr>
      <w:r>
        <w:t>СТАНДАРТ ВЫСШЕГО ОБРАЗОВАНИЯ</w:t>
      </w:r>
    </w:p>
    <w:p w:rsidR="007A6110" w:rsidRDefault="007A6110">
      <w:pPr>
        <w:pStyle w:val="ConsPlusTitle"/>
        <w:jc w:val="center"/>
      </w:pPr>
    </w:p>
    <w:p w:rsidR="007A6110" w:rsidRDefault="007A6110">
      <w:pPr>
        <w:pStyle w:val="ConsPlusTitle"/>
        <w:jc w:val="center"/>
      </w:pPr>
      <w:r>
        <w:t>ПО СПЕЦИАЛЬНОСТИ</w:t>
      </w:r>
    </w:p>
    <w:p w:rsidR="007A6110" w:rsidRDefault="007A6110">
      <w:pPr>
        <w:pStyle w:val="ConsPlusTitle"/>
        <w:jc w:val="center"/>
      </w:pPr>
      <w:r>
        <w:t>23.05.01 НАЗЕМНЫЕ ТРАНСПОРТНО-ТЕХНОЛОГИЧЕСКИЕ СРЕДСТВА</w:t>
      </w:r>
    </w:p>
    <w:p w:rsidR="007A6110" w:rsidRDefault="007A6110">
      <w:pPr>
        <w:pStyle w:val="ConsPlusTitle"/>
        <w:jc w:val="center"/>
      </w:pPr>
      <w:r>
        <w:t>(УРОВЕНЬ СПЕЦИАЛИТЕТА)</w:t>
      </w:r>
    </w:p>
    <w:p w:rsidR="007A6110" w:rsidRDefault="007A611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7A611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A6110" w:rsidRDefault="007A611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A6110" w:rsidRDefault="007A611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2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13.07.2017 N 653)</w:t>
            </w:r>
          </w:p>
        </w:tc>
      </w:tr>
    </w:tbl>
    <w:p w:rsidR="007A6110" w:rsidRDefault="007A6110">
      <w:pPr>
        <w:pStyle w:val="ConsPlusNormal"/>
        <w:jc w:val="both"/>
      </w:pPr>
    </w:p>
    <w:p w:rsidR="007A6110" w:rsidRDefault="007A6110">
      <w:pPr>
        <w:pStyle w:val="ConsPlusTitle"/>
        <w:jc w:val="center"/>
        <w:outlineLvl w:val="1"/>
      </w:pPr>
      <w:r>
        <w:t>I. ОБЛАСТЬ ПРИМЕНЕНИЯ</w:t>
      </w:r>
    </w:p>
    <w:p w:rsidR="007A6110" w:rsidRDefault="007A6110">
      <w:pPr>
        <w:pStyle w:val="ConsPlusNormal"/>
        <w:jc w:val="both"/>
      </w:pPr>
    </w:p>
    <w:p w:rsidR="007A6110" w:rsidRDefault="007A6110">
      <w:pPr>
        <w:pStyle w:val="ConsPlusNormal"/>
        <w:ind w:firstLine="540"/>
        <w:jc w:val="both"/>
      </w:pPr>
      <w:r>
        <w:t>Настоящий федеральный государственный образовательный стандарт высшего образования представляет собой совокупность требований, обязательных при реализации основных профессиональных образовательных программ высшего образования - программ специалитета по специальности 23.05.01 Наземные транспортно-технологические средства (далее соответственно - программа специалитета, специальность).</w:t>
      </w:r>
    </w:p>
    <w:p w:rsidR="007A6110" w:rsidRDefault="007A6110">
      <w:pPr>
        <w:pStyle w:val="ConsPlusNormal"/>
        <w:jc w:val="both"/>
      </w:pPr>
    </w:p>
    <w:p w:rsidR="007A6110" w:rsidRDefault="007A6110">
      <w:pPr>
        <w:pStyle w:val="ConsPlusTitle"/>
        <w:jc w:val="center"/>
        <w:outlineLvl w:val="1"/>
      </w:pPr>
      <w:r>
        <w:t>II. ИСПОЛЬЗУЕМЫЕ СОКРАЩЕНИЯ</w:t>
      </w:r>
    </w:p>
    <w:p w:rsidR="007A6110" w:rsidRDefault="007A6110">
      <w:pPr>
        <w:pStyle w:val="ConsPlusNormal"/>
        <w:jc w:val="both"/>
      </w:pPr>
    </w:p>
    <w:p w:rsidR="007A6110" w:rsidRDefault="007A6110">
      <w:pPr>
        <w:pStyle w:val="ConsPlusNormal"/>
        <w:ind w:firstLine="540"/>
        <w:jc w:val="both"/>
      </w:pPr>
      <w:r>
        <w:t>В настоящем федеральном государственном образовательном стандарте используются следующие сокращения:</w:t>
      </w:r>
    </w:p>
    <w:p w:rsidR="007A6110" w:rsidRDefault="007A6110">
      <w:pPr>
        <w:pStyle w:val="ConsPlusNormal"/>
        <w:spacing w:before="280"/>
        <w:ind w:firstLine="540"/>
        <w:jc w:val="both"/>
      </w:pPr>
      <w:proofErr w:type="gramStart"/>
      <w:r>
        <w:t>ОК</w:t>
      </w:r>
      <w:proofErr w:type="gramEnd"/>
      <w:r>
        <w:t xml:space="preserve"> - общекультурные компетенции;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ОПК - общепрофессиональные компетенции;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ПК - профессиональные компетенции;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ПСК - профессионально-специализированные компетенции;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ФГОС </w:t>
      </w:r>
      <w:proofErr w:type="gramStart"/>
      <w:r>
        <w:t>ВО</w:t>
      </w:r>
      <w:proofErr w:type="gramEnd"/>
      <w:r>
        <w:t xml:space="preserve"> - федеральный государственный образовательный стандарт высшего образования;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сетевая форма - сетевая форма реализации образовательных программ.</w:t>
      </w:r>
    </w:p>
    <w:p w:rsidR="007A6110" w:rsidRDefault="007A6110">
      <w:pPr>
        <w:pStyle w:val="ConsPlusNormal"/>
        <w:jc w:val="both"/>
      </w:pPr>
    </w:p>
    <w:p w:rsidR="007A6110" w:rsidRDefault="007A6110">
      <w:pPr>
        <w:pStyle w:val="ConsPlusTitle"/>
        <w:jc w:val="center"/>
        <w:outlineLvl w:val="1"/>
      </w:pPr>
      <w:r>
        <w:t>III. ХАРАКТЕРИСТИКА СПЕЦИАЛЬНОСТИ</w:t>
      </w:r>
    </w:p>
    <w:p w:rsidR="007A6110" w:rsidRDefault="007A6110">
      <w:pPr>
        <w:pStyle w:val="ConsPlusNormal"/>
        <w:jc w:val="both"/>
      </w:pPr>
    </w:p>
    <w:p w:rsidR="007A6110" w:rsidRDefault="007A6110">
      <w:pPr>
        <w:pStyle w:val="ConsPlusNormal"/>
        <w:ind w:firstLine="540"/>
        <w:jc w:val="both"/>
      </w:pPr>
      <w:r>
        <w:t xml:space="preserve">3.1. Получение образования по программе специалитета допускается только в образовательной организации </w:t>
      </w:r>
      <w:proofErr w:type="gramStart"/>
      <w:r>
        <w:t>высшего</w:t>
      </w:r>
      <w:proofErr w:type="gramEnd"/>
      <w:r>
        <w:t xml:space="preserve"> образования (далее - организация).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3.2. </w:t>
      </w:r>
      <w:proofErr w:type="gramStart"/>
      <w:r>
        <w:t>Обучение по программе специалитета в организации осуществляется в очной, очно-заочной и заочной формах обучения.</w:t>
      </w:r>
      <w:proofErr w:type="gramEnd"/>
    </w:p>
    <w:p w:rsidR="007A6110" w:rsidRDefault="007A6110">
      <w:pPr>
        <w:pStyle w:val="ConsPlusNormal"/>
        <w:spacing w:before="280"/>
        <w:ind w:firstLine="540"/>
        <w:jc w:val="both"/>
      </w:pPr>
      <w:r>
        <w:t>Объем программы специалитета составляет 300 зачетных единиц (далее - з.е.) вне зависимости от формы обучения, применяемых образовательных технологий, реализации программы специалитета с использованием сетевой формы, реализации программы специалитета по индивидуальному учебному плану, в том числе ускоренного обучения.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3.3. Срок получения образования по программе специалитета: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в очной форме обучения, включая каникулы, предоставляемые после </w:t>
      </w:r>
      <w:r>
        <w:lastRenderedPageBreak/>
        <w:t>прохождения государственной итоговой аттестации, вне зависимости от применяемых образовательных технологий составляет 5 лет. Объем программы специалитета в очной форме обучения, реализуемый за один учебный год, составляет 60 з.е.;</w:t>
      </w:r>
    </w:p>
    <w:p w:rsidR="007A6110" w:rsidRDefault="007A6110">
      <w:pPr>
        <w:pStyle w:val="ConsPlusNormal"/>
        <w:spacing w:before="280"/>
        <w:ind w:firstLine="540"/>
        <w:jc w:val="both"/>
      </w:pPr>
      <w:proofErr w:type="gramStart"/>
      <w:r>
        <w:t>в очно-заочной или заочной формах обучения вне зависимости от применяемых образовательных технологий увеличивается не менее чем на 6 месяцев и не более чем на 1 год по сравнению со сроком получения образования по очной форме обучения.</w:t>
      </w:r>
      <w:proofErr w:type="gramEnd"/>
      <w:r>
        <w:t xml:space="preserve"> Объем программы специалитета за один учебный год в очно-заочной или заочной формах обучения не может составлять более 75 з.е.;</w:t>
      </w:r>
    </w:p>
    <w:p w:rsidR="007A6110" w:rsidRDefault="007A6110">
      <w:pPr>
        <w:pStyle w:val="ConsPlusNormal"/>
        <w:spacing w:before="280"/>
        <w:ind w:firstLine="540"/>
        <w:jc w:val="both"/>
      </w:pPr>
      <w:proofErr w:type="gramStart"/>
      <w:r>
        <w:t>при обучении по индивидуальному учебному плану вне зависимости от формы обучения устанавливается не более срока получения образования, установленного для соответствующей формы обучения, а при обучении по индивидуальному плану лиц с ограниченными возможностями здоровья может быть увеличен по их желанию не более чем на 1 год по сравнению со сроком получения образования для соответствующей формы обучения.</w:t>
      </w:r>
      <w:proofErr w:type="gramEnd"/>
      <w:r>
        <w:t xml:space="preserve"> Объем программы специалитета за один учебный год при </w:t>
      </w:r>
      <w:proofErr w:type="gramStart"/>
      <w:r>
        <w:t>обучении</w:t>
      </w:r>
      <w:proofErr w:type="gramEnd"/>
      <w:r>
        <w:t xml:space="preserve"> по индивидуальному учебному плану не может составлять более 75 з.е.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Конкретный срок получения образования и объем программы специалитета, реализуемый за один учебный год, в очно-заочной или заочной формах обучения, по индивидуальному плану определяются организацией самостоятельно в пределах сроков, установленных настоящим пунктом.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3.4. При реализации программы специалитета организация вправе применять электронное обучение и дистанционные образовательные технологии.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При обучении лиц с ограниченными возможностями здоровья электронное обучение и дистанционные образовательные технологии должны предусматривать возможность приема-передачи информации в доступных для них формах.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3.5. Реализация программы специалитета возможна с использованием сетевой формы.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3.6. Образовательная деятельность по программе специалитета осуществляется на государственном языке Российской Федерации, если иное не определено локальным нормативным актом организации.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3.7. Программы специалитета, содержащие сведения, составляющие государственную тайну, разрабатываются и реализуются при создании условий и с соблюдением требований законодательства Российской Федерации о государственной тайне и нормативных правовых актов </w:t>
      </w:r>
      <w:r>
        <w:lastRenderedPageBreak/>
        <w:t>федеральных государственных органов, в ведении которых находятся организации, реализующие соответствующие образовательные программы &lt;1&gt;.</w:t>
      </w:r>
    </w:p>
    <w:p w:rsidR="007A6110" w:rsidRDefault="007A6110">
      <w:pPr>
        <w:pStyle w:val="ConsPlusNormal"/>
        <w:spacing w:before="280"/>
        <w:ind w:firstLine="540"/>
        <w:jc w:val="both"/>
      </w:pPr>
      <w:proofErr w:type="gramStart"/>
      <w:r>
        <w:t>--------------------------------</w:t>
      </w:r>
      <w:proofErr w:type="gramEnd"/>
    </w:p>
    <w:p w:rsidR="007A6110" w:rsidRDefault="007A6110">
      <w:pPr>
        <w:pStyle w:val="ConsPlusNormal"/>
        <w:spacing w:before="280"/>
        <w:ind w:firstLine="540"/>
        <w:jc w:val="both"/>
      </w:pPr>
      <w:proofErr w:type="gramStart"/>
      <w:r>
        <w:t xml:space="preserve">&lt;1&gt; </w:t>
      </w:r>
      <w:hyperlink r:id="rId13" w:history="1">
        <w:r>
          <w:rPr>
            <w:color w:val="0000FF"/>
          </w:rPr>
          <w:t>Часть 4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</w:t>
      </w:r>
      <w:proofErr w:type="gramEnd"/>
      <w:r>
        <w:t xml:space="preserve"> </w:t>
      </w:r>
      <w:proofErr w:type="gramStart"/>
      <w:r>
        <w:t>N 19, ст. 2289; N 22, ст. 2769; N 23, ст. 2933; N 26, ст. 3388; N 30, ст. 4217, ст. 4257, ст. 4263; 2015, N 1, ст. 42, ст. 53, ст. 72; N 14, ст. 2008, N 27, ст. 3951, ст. 3989; N 29, ст. 4339, ст. 4364; N 51, ст. 7241;</w:t>
      </w:r>
      <w:proofErr w:type="gramEnd"/>
      <w:r>
        <w:t xml:space="preserve"> </w:t>
      </w:r>
      <w:proofErr w:type="gramStart"/>
      <w:r>
        <w:t>2016, N 1, ст. 8, ст. 9, ст. 24, ст. 78; N 10, ст. 1320; N 23, ст. 3289, ст. 3290; N 27, ст. 4160, ст. 4219, ст. 4223, ст. 4238, ст. 4239, ст. 4246, ст. 4292).</w:t>
      </w:r>
      <w:proofErr w:type="gramEnd"/>
    </w:p>
    <w:p w:rsidR="007A6110" w:rsidRDefault="007A6110">
      <w:pPr>
        <w:pStyle w:val="ConsPlusNormal"/>
        <w:jc w:val="both"/>
      </w:pPr>
    </w:p>
    <w:p w:rsidR="007A6110" w:rsidRDefault="007A6110">
      <w:pPr>
        <w:pStyle w:val="ConsPlusTitle"/>
        <w:jc w:val="center"/>
        <w:outlineLvl w:val="1"/>
      </w:pPr>
      <w:r>
        <w:t>IV. ХАРАКТЕРИСТИКА ПРОФЕССИОНАЛЬНОЙ ДЕЯТЕЛЬНОСТИ</w:t>
      </w:r>
    </w:p>
    <w:p w:rsidR="007A6110" w:rsidRDefault="007A6110">
      <w:pPr>
        <w:pStyle w:val="ConsPlusTitle"/>
        <w:jc w:val="center"/>
      </w:pPr>
      <w:r>
        <w:t>ВЫПУСКНИКОВ, ОСВОИВШИХ ПРОГРАММУ СПЕЦИАЛИТЕТА</w:t>
      </w:r>
    </w:p>
    <w:p w:rsidR="007A6110" w:rsidRDefault="007A6110">
      <w:pPr>
        <w:pStyle w:val="ConsPlusNormal"/>
        <w:jc w:val="both"/>
      </w:pPr>
    </w:p>
    <w:p w:rsidR="007A6110" w:rsidRDefault="007A6110">
      <w:pPr>
        <w:pStyle w:val="ConsPlusNormal"/>
        <w:ind w:firstLine="540"/>
        <w:jc w:val="both"/>
      </w:pPr>
      <w:r>
        <w:t>4.1. Область профессиональной деятельности выпускников, освоивших программу специалитета, включает: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транспортное, строительное, сельскохозяйственное, специальное машиностроение;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эксплуатацию техники;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среднее профессиональное и высшее образование.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4.2. Объектами профессиональной деятельности выпускников, освоивших программу специалитета, являются: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автомобили;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тракторы;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мотоциклы;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автомобильные и тракторные прицепы и полуприцепы;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наземные транспортные средства с комбинированными энергетическими установками;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подъемно-транспортные, строительные, дорожные средства и оборудование, технические средства агропромышленного комплекса, технические средства природообустройства и защиты в чрезвычайных </w:t>
      </w:r>
      <w:r>
        <w:lastRenderedPageBreak/>
        <w:t>ситуациях;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горнотранспортные средства, трубопроводные транспортные системы, средства и механизмы коммунального хозяйства;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средства и оборудование для ликвидации последствий чрезвычайных ситуаций, стихийных бедствий, тушения пожаров;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нормативно-техническая документация, системы стандартизации, методы и средства испытаний и контроля качества изделий.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4.3. Виды профессиональной деятельности, к которым готовятся выпускники, освоившие программу специалитета: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научно-исследовательская;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проектно-конструкторская;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производственно-технологическая;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организационно-управленческая.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Специализации, по которым готовятся выпускники, освоившие программу специалитета: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специализация N 1 "Автомобили и тракторы";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специализация N 2 "Подъемно-транспортные, строительные, дорожные средства и оборудование";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специализация N 3 "Технические средства агропромышленного комплекса";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специализация N 4 "Технические средства природообустройства и защиты в чрезвычайных ситуациях";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специализация N 5 "Автомобильная техника в транспортных технологиях".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При разработке и реализации программы специалитета организация ориентируется на конкретный вид (виды) профессиональной деятельности, к которому (которым) готовится специалист и выбирает специализацию, исходя из потребностей рынка труда, научно-исследовательских и материально-технических ресурсов организации.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4.4. Выпускник, освоивший программу специалитета, готов решать следующие профессиональные задачи: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lastRenderedPageBreak/>
        <w:t>в соответствии с видом (видами) профессиональной деятельности, на который (которые) ориентирована программа специалитета: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научно-исследовательская деятельность: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проведение анализа состояния и перспектив </w:t>
      </w:r>
      <w:proofErr w:type="gramStart"/>
      <w:r>
        <w:t>развития</w:t>
      </w:r>
      <w:proofErr w:type="gramEnd"/>
      <w:r>
        <w:t xml:space="preserve"> наземных транспортно-технологических средств, их технологического оборудования и комплексов на их базе;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проведение теоретических и экспериментальных научных исследований по поиску и проверке новых идей совершенствования наземных транспортно-технологических средств, их технологического оборудования и комплексов на их базе;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техническое и организационное обеспечение исследований, анализ результатов и разработка предложений по их реализации;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проектно-конструкторская деятельность: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определение способов достижения целей проекта, выявление приоритетов решения задач при производстве, модернизации и ремонте наземных транспортно-технологических средств, их технологического оборудования и комплексов на их базе;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разработка вариантов решения проблем производства, модернизации и </w:t>
      </w:r>
      <w:proofErr w:type="gramStart"/>
      <w:r>
        <w:t>ремонта</w:t>
      </w:r>
      <w:proofErr w:type="gramEnd"/>
      <w:r>
        <w:t xml:space="preserve"> наземных транспортно-технологических средств, анализ этих вариантов, прогнозирование последствий, нахождение компромиссных решений в условиях многокритериальности и неопределенности;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использование прикладных программ расчета узлов, агрегатов и систем транспортно-технологических средств и их технологического оборудования;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разработка конструкторско-технической документации для производства новых или модернизируемых образцов наземных транспортно-технологических средств и их технологического оборудования с использованием информационных технологий;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разработка технических условий, стандартов и технических </w:t>
      </w:r>
      <w:proofErr w:type="gramStart"/>
      <w:r>
        <w:t>описаний</w:t>
      </w:r>
      <w:proofErr w:type="gramEnd"/>
      <w:r>
        <w:t xml:space="preserve"> наземных транспортно-технологических средств и их технологического оборудования;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сравнение по критериям оценки проектируемых узлов и агрегатов с учетом требований надежности, технологичности, безопасности, охраны окружающей среды и конкурентоспособности;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производственно-технологическая деятельность: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lastRenderedPageBreak/>
        <w:t xml:space="preserve">разработка технологической документации для производства, модернизации, ремонта и </w:t>
      </w:r>
      <w:proofErr w:type="gramStart"/>
      <w:r>
        <w:t>эксплуатации</w:t>
      </w:r>
      <w:proofErr w:type="gramEnd"/>
      <w:r>
        <w:t xml:space="preserve"> наземных транспортно-технологических средств и их технологического оборудования;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контроль за параметрами технологических процессов и качеством производства и </w:t>
      </w:r>
      <w:proofErr w:type="gramStart"/>
      <w:r>
        <w:t>эксплуатации</w:t>
      </w:r>
      <w:proofErr w:type="gramEnd"/>
      <w:r>
        <w:t xml:space="preserve"> наземных транспортно-технологических средств и их технологического оборудования;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проведение стандартных испытаний наземных транспортно-технологических средств и их технологического оборудования;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организационно-управленческая деятельность: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организация процесса производства узлов и </w:t>
      </w:r>
      <w:proofErr w:type="gramStart"/>
      <w:r>
        <w:t>агрегатов</w:t>
      </w:r>
      <w:proofErr w:type="gramEnd"/>
      <w:r>
        <w:t xml:space="preserve"> наземных транспортно-технологических средств;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организация эксплуатации наземных транспортно-технологических средств и комплексов;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организация технического контроля при исследовании, проектировании, производстве и эксплуатации наземных транспортно-технологических средств и их технологического оборудования;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составление планов, программ, графиков работ, смет, заказов, заявок, инструкций и другой технической документации;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разработка мер по повышению эффективности использования оборудования;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организация мероприятий по ликвидации последствий аварий, катастроф, стихийных бедствий и других чрезвычайных ситуаций;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в соответствии со специализациями: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специализация N 1 "Автомобили и тракторы":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научно-исследовательская деятельность: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анализ состояния и перспективы развития автомобилей и тракторов, их технологического оборудования и комплексов на их базе;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проведение теоретического и экспериментального научного исследования по поиску и проверке новых идей совершенствования автомобилей и тракторов;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проектно-конструкторская деятельность: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lastRenderedPageBreak/>
        <w:t>определение способов достижения целей проекта, выявления приоритета решения задач при производстве, модернизации и ремонте автомобилей и тракторов, их технологического оборудования и комплексов на их базе;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разработка конкретных вариантов решения проблем производства, модернизации и ремонта автомобилей и тракторов, проведение анализа этих вариантов, осуществление прогнозирования последствий, нахождение компромиссных решений в условиях многокритериальности и неопределенности;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использование прикладных программ расчета узлов, агрегатов и систем автомобилей и тракторов;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разработка с использованием информационных технологий, конструкторско-технической документации для производства новых или модернизируемых образцов автомобилей и тракторов и их технологического оборудования;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разработка технических условий, стандартов и технических описаний автомобилей и тракторов;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производственно-технологическая деятельность: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разработка технологической документации для производства, модернизации, эксплуатации, технического обслуживания и ремонта автомобилей и тракторов;</w:t>
      </w:r>
    </w:p>
    <w:p w:rsidR="007A6110" w:rsidRDefault="007A6110">
      <w:pPr>
        <w:pStyle w:val="ConsPlusNormal"/>
        <w:spacing w:before="280"/>
        <w:ind w:firstLine="540"/>
        <w:jc w:val="both"/>
      </w:pPr>
      <w:proofErr w:type="gramStart"/>
      <w:r>
        <w:t>контроль за</w:t>
      </w:r>
      <w:proofErr w:type="gramEnd"/>
      <w:r>
        <w:t xml:space="preserve"> параметрами технологических процессов производства и эксплуатации наземных автомобилей и тракторов и их технологического оборудования;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проведение стандартных испытаний автомобилей и тракторов;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организационно-управленческая деятельность: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организация процесса производства узлов и агрегатов автомобилей и тракторов;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организация работы по эксплуатации автомобилей и тракторов;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организация технического контроля при исследовании, проектировании, производстве и эксплуатации автомобилей и тракторов и их технологического оборудования;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специализация N 2 "Подъемно-транспортные, строительные, дорожные средства и оборудование":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lastRenderedPageBreak/>
        <w:t>научно-исследовательская деятельность: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анализ состояния и перспективы развития средств механизации и автоматизации подъемно-транспортных, строительных и дорожных работ, их технологического оборудования и комплексов на их базе;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проведение теоретических и экспериментальных научных исследований по поиску и проверке новых идей совершенствования средств механизации и автоматизации подъемно-транспортных, строительных и дорожных работ;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проектно-конструкторская деятельность: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определение способов достижения целей проекта, выявление приоритетов решения задач при производстве, модернизации и ремонте средств механизации и автоматизации подъемно-транспортных, строительных и дорожных работ, их технологического оборудования и комплексов на их базе;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разработка конкретных вариантов решения проблем производства, модернизации и ремонта средств механизации и автоматизации подъемно-транспортных, строительных и дорожных работ, анализ этих вариантов, осуществление прогнозирования последствий, нахождение компромиссных решений в условиях многокритериальности и неопределенности;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разработка с использованием информационных технологий, конструкторско-технической документации для производства новых или модернизируемых образцов средств механизации и автоматизации подъемно-транспортных, строительных и дорожных работ и их технологического оборудования;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разработка технических условий, стандартов и технического описания средств механизации и автоматизации подъемно-транспортных, строительных и дорожных работ;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производственно-технологическая деятельность: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разработка технологической документации для производства, модернизации, эксплуатации, технического обслуживания и ремонта средств механизации и автоматизации подъемно-транспортных, строительных и дорожных работ;</w:t>
      </w:r>
    </w:p>
    <w:p w:rsidR="007A6110" w:rsidRDefault="007A6110">
      <w:pPr>
        <w:pStyle w:val="ConsPlusNormal"/>
        <w:spacing w:before="280"/>
        <w:ind w:firstLine="540"/>
        <w:jc w:val="both"/>
      </w:pPr>
      <w:proofErr w:type="gramStart"/>
      <w:r>
        <w:t>контроль за</w:t>
      </w:r>
      <w:proofErr w:type="gramEnd"/>
      <w:r>
        <w:t xml:space="preserve"> параметрами технологических процессов производства и эксплуатации средств механизации и автоматизации подъемно-транспортных, строительных и дорожных работ и их технологического оборудования;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lastRenderedPageBreak/>
        <w:t>проведение стандартных испытаний средств механизации и автоматизации подъемно-транспортных, строительных и дорожных работ;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организационно-управленческая деятельность: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организация процесса производства узлов и агрегатов средств механизации и автоматизации подъемно-транспортных, строительных и дорожных работ;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организация работы по эксплуатации средств механизации и автоматизации подъемно-транспортных, строительных и дорожных работ;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организация технического контроля при исследовании, проектировании, производстве и эксплуатации средств механизации и автоматизации подъемно-транспортных, строительных и дорожных работ и их технологического оборудования;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специализация N 3 "Технические средства агропромышленного комплекса":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научно-исследовательская деятельность: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анализ состояния и перспективы развития технических средств агропромышленного комплекса (далее - АПК) и комплексов на их базе;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проведение теоретических и экспериментальных научных исследований по поиску и проверке новых идей совершенствования технологических процессов и технических средств их осуществления;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проведения системного анализа и структурно-параметрического синтеза технических систем используя теоретические положения и знания конструкций технических средств АПК;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проведение прогнозирования показателей технического уровня технических средств АПК, используя различие метода прогнозирования;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проектно-конструкторская деятельность: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разработка проектных заданий, определение способов достижения целей проекта, выявление приоритетов решения задач при разработке, производстве, модернизации и ремонте технических средств АПК и комплексов на их базе;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разработка конкретных конструктивных вариантов технических средств АПК, решения проблем производства, их модернизации и ремонта, анализ этих вариантов, прогнозирование последствий, нахождение компромиссные </w:t>
      </w:r>
      <w:r>
        <w:lastRenderedPageBreak/>
        <w:t>решения в условиях многокритериальности и неопределенности;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использование прикладных программ проектно-конструкторских расчетов узлов, агрегатов и систем технических средств АПК;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разработка с использованием информационных технологий, конструкторско-техническую документацию для производства новых или модернизируемых образцов технических средств АПК;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разработка агротехнических требований, технических условий, стандартов и технического описания технических средств АПК (ПСК-3.9);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сравнение по критериям оценки проектируемые, узлы, агрегаты и машины с учетом агротехнических требований, надежности, технологичности, безопасности, охраны окружающей среды и конкурентоспособности;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обоснование внешних характеристик технических средств АПК, определяющие типоразмер агрегата, его устойчивость, возможность агрегатирования с энергетическим средством;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используя аналитические и численные методы оптимизации, осуществлять поиск оптимальные решения по созданию новых технологий и технических сре</w:t>
      </w:r>
      <w:proofErr w:type="gramStart"/>
      <w:r>
        <w:t>дств дл</w:t>
      </w:r>
      <w:proofErr w:type="gramEnd"/>
      <w:r>
        <w:t>я их реализации;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решение задач приспособленности технических средств АПК к работе в составе поточных технологических линий;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оценка производительности и экономических показателей технических средств АПК на стадии их проектирования;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обеспечение надежности технических средств АПК на стадии их проектирования;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обеспечение качества технических средств АПК при их проектировании;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разработка проектной и рабочей конструкторской документации опытного образца технического средства АПК;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производственно-технологическая деятельность: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разработка технологической документации для производства, модернизации, эксплуатации, технического обслуживания диагностирования и ремонта технических средств АПК;</w:t>
      </w:r>
    </w:p>
    <w:p w:rsidR="007A6110" w:rsidRDefault="007A6110">
      <w:pPr>
        <w:pStyle w:val="ConsPlusNormal"/>
        <w:spacing w:before="280"/>
        <w:ind w:firstLine="540"/>
        <w:jc w:val="both"/>
      </w:pPr>
      <w:proofErr w:type="gramStart"/>
      <w:r>
        <w:t>контроль за</w:t>
      </w:r>
      <w:proofErr w:type="gramEnd"/>
      <w:r>
        <w:t xml:space="preserve"> параметрами технологических процессов производства и эксплуатации технических средств АПК;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lastRenderedPageBreak/>
        <w:t>проведение стандартных испытаний технических средств АПК как механических систем и оценку их агрозоотехнических показателей;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организационно-управленческая деятельность: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организация процесса производства узлов и агрегатов технических средств АПК и комплексов с использованием современных технологий;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организация работы производственной и технической эксплуатации технических средств АПК и комплексов;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контроль при исследовании, проектировании, производстве и эксплуатации технических средств АПК;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специализация N 4 "Технические средства природообустройства и защиты в чрезвычайных ситуациях":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научно-исследовательская деятельность: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анализ состояния и перспектив развития технических средств природообустройства и защиты в чрезвычайных ситуациях, их технологического оборудования и комплексов на их базе;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проведение теоретических и экспериментальных научных исследований по поиску и проверке новых идей совершенствования технических средств природообустройства и защиты в чрезвычайных ситуациях;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проектно-конструкторская деятельность: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определение способов достижения целей проекта, выявление приоритетов решения задач при производстве, модернизации и ремонте технических средств природообустройства и защиты в чрезвычайных ситуациях, их технологического оборудования и комплексов на их базе;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разработка конкретных вариантов решения проблем производства, модернизации и ремонта технических средств природообустройства и защиты в чрезвычайных ситуациях, анализ этих вариантов, прогнозирование последствий, нахождение компромиссных решений в условиях многокритериальности и неопределенности;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использование прикладных программ расчета узлов, агрегатов и систем технических средств природообустройства и защиты в чрезвычайных ситуациях;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разработка с использованием информационных технологий, </w:t>
      </w:r>
      <w:proofErr w:type="gramStart"/>
      <w:r>
        <w:t>конструкторско-техническую</w:t>
      </w:r>
      <w:proofErr w:type="gramEnd"/>
      <w:r>
        <w:t xml:space="preserve"> документации для производства новых или </w:t>
      </w:r>
      <w:r>
        <w:lastRenderedPageBreak/>
        <w:t>модернизируемых образцов технических средств природообустройства и защиты в чрезвычайных ситуациях и их технологического оборудования;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разработка технических условий, стандартов и технического описания технических средств природообустройства и защиты в чрезвычайных ситуациях;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производственно-технологическая деятельность: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разработка технологической документации для производства, модернизации, эксплуатации, технического обслуживания и ремонта технических средств природообустройства и защиты в чрезвычайных ситуациях;</w:t>
      </w:r>
    </w:p>
    <w:p w:rsidR="007A6110" w:rsidRDefault="007A6110">
      <w:pPr>
        <w:pStyle w:val="ConsPlusNormal"/>
        <w:spacing w:before="280"/>
        <w:ind w:firstLine="540"/>
        <w:jc w:val="both"/>
      </w:pPr>
      <w:proofErr w:type="gramStart"/>
      <w:r>
        <w:t>контроль за</w:t>
      </w:r>
      <w:proofErr w:type="gramEnd"/>
      <w:r>
        <w:t xml:space="preserve"> параметрами технологических процессов производства и эксплуатации технических средств природообустройства и защиты в чрезвычайных ситуациях и их технологического оборудования;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проведение стандартных испытаний технических средств природообустройства и защиты в чрезвычайных ситуациях;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организационно-управленческая деятельность: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организация процесса производства узлов и агрегатов технических средств природообустройства и защиты в чрезвычайных ситуациях;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организация работы по эксплуатации технических средств природообустройства и защиты в чрезвычайных ситуациях;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организация технического контроля при исследовании, проектировании, производстве и эксплуатации технических средств природообустройства и защиты в чрезвычайных ситуациях и их технологического оборудования;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специализация N 5 "Автомобильная техника в транспортных технологиях":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научно-исследовательская деятельность: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анализ состояния и перспективы развития технологий и оборудования для технического обслуживания, диагностирования и </w:t>
      </w:r>
      <w:proofErr w:type="gramStart"/>
      <w:r>
        <w:t>ремонта</w:t>
      </w:r>
      <w:proofErr w:type="gramEnd"/>
      <w:r>
        <w:t xml:space="preserve"> наземных транспортно-технологических средств;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проведение теоретических и экспериментальных научных исследований по поиску и проверке новых идей совершенствования технологических процессов эксплуатации наземных транспортно-технологических средств;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прогнозирование показателей, характеризующих эксплуатацию </w:t>
      </w:r>
      <w:r>
        <w:lastRenderedPageBreak/>
        <w:t>наземных транспортно-технологических средств, используя различные методы прогнозирования;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проектно-конструкторская деятельность: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определение способов достижения целей проекта, выявление приоритетов решения задач при эксплуатации наземных транспортно-технологических средств;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использование прикладных программ проектно-конструкторских расчетов узлов, агрегатов и систем оборудования для технического обслуживания, диагностирования и ремонта, наземных транспортно-технологических средств;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разработка с использованием информационных технологий конструкторско-технической документации для производства новых или модернизируемых образцов оборудования для технического обслуживания, диагностирования и </w:t>
      </w:r>
      <w:proofErr w:type="gramStart"/>
      <w:r>
        <w:t>ремонта</w:t>
      </w:r>
      <w:proofErr w:type="gramEnd"/>
      <w:r>
        <w:t xml:space="preserve"> наземных транспортно-технологических средств;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разработка конкретных вариантов решения проблем эксплуатации оборудования для технического обслуживания, диагностирования и </w:t>
      </w:r>
      <w:proofErr w:type="gramStart"/>
      <w:r>
        <w:t>ремонта</w:t>
      </w:r>
      <w:proofErr w:type="gramEnd"/>
      <w:r>
        <w:t xml:space="preserve"> наземных транспортно-технологических средств, анализ этих вариантов, прогнозирование последствий, нахождение компромиссных решений в условиях многокритериальности и неопределенности;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разработка технических условий, стандартов и технического описания оборудования для технического обслуживания, диагностирования и ремонта, наземных транспортно-технологических средств;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производственно-технологическая деятельность: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разработка технологической документации для процессов технического обслуживания, диагностирования и ремонта при эксплуатации наземных транспортно-технологических средств;</w:t>
      </w:r>
    </w:p>
    <w:p w:rsidR="007A6110" w:rsidRDefault="007A6110">
      <w:pPr>
        <w:pStyle w:val="ConsPlusNormal"/>
        <w:spacing w:before="280"/>
        <w:ind w:firstLine="540"/>
        <w:jc w:val="both"/>
      </w:pPr>
      <w:proofErr w:type="gramStart"/>
      <w:r>
        <w:t>контроль за</w:t>
      </w:r>
      <w:proofErr w:type="gramEnd"/>
      <w:r>
        <w:t xml:space="preserve"> параметрами технологических процессов технического обслуживания, ремонта и диагностики, наземных транспортно-технологических средств;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проведение стандартных испытаний оборудования для эксплуатации наземных транспортно-технологических средств;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организационно-управленческая деятельность: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поиск оптимальных решений по созданию и применению новых </w:t>
      </w:r>
      <w:r>
        <w:lastRenderedPageBreak/>
        <w:t>технологий и технических сре</w:t>
      </w:r>
      <w:proofErr w:type="gramStart"/>
      <w:r>
        <w:t>дств дл</w:t>
      </w:r>
      <w:proofErr w:type="gramEnd"/>
      <w:r>
        <w:t>я их реализации;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организация работы по эксплуатации оборудования для технического обслуживания, ремонта и диагностики, наземных транспортно-технологических средств.</w:t>
      </w:r>
    </w:p>
    <w:p w:rsidR="007A6110" w:rsidRDefault="007A6110">
      <w:pPr>
        <w:pStyle w:val="ConsPlusNormal"/>
        <w:jc w:val="both"/>
      </w:pPr>
    </w:p>
    <w:p w:rsidR="007A6110" w:rsidRDefault="007A6110">
      <w:pPr>
        <w:pStyle w:val="ConsPlusTitle"/>
        <w:jc w:val="center"/>
        <w:outlineLvl w:val="1"/>
      </w:pPr>
      <w:r>
        <w:t>V. ТРЕБОВАНИЯ К РЕЗУЛЬТАТАМ ОСВОЕНИЯ ПРОГРАММЫ СПЕЦИАЛИТЕТА</w:t>
      </w:r>
    </w:p>
    <w:p w:rsidR="007A6110" w:rsidRDefault="007A6110">
      <w:pPr>
        <w:pStyle w:val="ConsPlusNormal"/>
        <w:jc w:val="both"/>
      </w:pPr>
    </w:p>
    <w:p w:rsidR="007A6110" w:rsidRDefault="007A6110">
      <w:pPr>
        <w:pStyle w:val="ConsPlusNormal"/>
        <w:ind w:firstLine="540"/>
        <w:jc w:val="both"/>
      </w:pPr>
      <w:r>
        <w:t>5.1. В результате освоения программы специалитета у выпускника должны быть сформированы общекультурные, общепрофессиональные, профессиональные и профессионально-специализированные компетенции.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5.2. Выпускник, освоивший программу специалитета, должен обладать следующими общекультурными компетенциями: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к абстрактному мышлению, анализу, синтезу (ОК-1);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использовать основы философских знаний для формирования мировоззренческой позиции (ОК-2);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анализировать основные этапы и закономерности исторического развития общества для формирования гражданской позиции (ОК-3);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использовать основы экономических знаний в различных сферах жизнедеятельности (ОК-4);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использовать основы правовых знаний в различных сферах жизнедеятельности (ОК-5);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готовностью действовать в нестандартных ситуациях, нести социальную и этическую ответственность за принятые решения (ОК-6);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готовностью к саморазвитию, самореализации, использованию творческого потенциала (ОК-7);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использовать методы и средства физической культуры для обеспечения полноценной социальной и профессиональной деятельности (ОК-8);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использовать приемы оказания первой помощи, методы защиты в условиях чрезвычайных ситуаций (ОК-9).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5.3. Выпускник, освоивший программу специалитета, должен обладать следующими общепрофессиональными компетенциями:</w:t>
      </w:r>
    </w:p>
    <w:p w:rsidR="007A6110" w:rsidRDefault="007A6110">
      <w:pPr>
        <w:pStyle w:val="ConsPlusNormal"/>
        <w:spacing w:before="280"/>
        <w:ind w:firstLine="540"/>
        <w:jc w:val="both"/>
      </w:pPr>
      <w:proofErr w:type="gramStart"/>
      <w:r>
        <w:lastRenderedPageBreak/>
        <w:t>способностью решать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 (ОПК-1);</w:t>
      </w:r>
      <w:proofErr w:type="gramEnd"/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готовностью к коммуникации в устной и письменной </w:t>
      </w:r>
      <w:proofErr w:type="gramStart"/>
      <w:r>
        <w:t>формах</w:t>
      </w:r>
      <w:proofErr w:type="gramEnd"/>
      <w:r>
        <w:t xml:space="preserve"> на русском и иностранном языках для решения задач профессиональной деятельности (ОПК-2);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готовностью руководить коллективом в сфере своей профессиональной деятельности, толерантно воспринимая социальные, этнические, конфессиональные и культурные различия (ОПК-3).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к самообразованию и использованию в практической деятельности новых знаний и умений, в том числе в областях знаний, непосредственно не связанных со сферой профессиональной деятельности (ОПК-4);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на научной основе организовать свой труд, самостоятельно оценивать результаты своей деятельности (ОПК-5);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самостоятельно или в составе группы осуществлять научную деятельность, реализуя специальные средства и методы получения нового знания (ОПК-6);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понимать сущность и значение информации в развитии современного информационного общества, способностью сознавать опасности и угрозы, возникающие в этом процессе, способностью соблюдать основные требования информационной безопасности, в том числе защиты государственной тайны (ОПК-7);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освоить основные методы защиты производственного персонала и населения от возможных последствий аварий, катастроф, стихийных бедствий (ОПК-8).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5.4. Выпускник, освоивший программу специалитета, должен обладать профессиональными компетенциями, соответствующими виду (видам) профессиональной деятельности, на который (которые) ориентирована программа специалитета: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научно-исследовательская деятельность: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анализировать состояние и перспективы развития наземных транспортно-технологических средств, их технологического оборудования и комплексов на их базе (ПК-1);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lastRenderedPageBreak/>
        <w:t>способностью проводить теоретические и экспериментальные научные исследования по поиску и проверке новых идей совершенствования наземных транспортно-технологических средств, их технологического оборудования и создания комплексов на их базе (ПК-2);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проводить техническое и организационное обеспечение исследований, анализ результатов и разработку предложений по их реализации (ПК-3);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проектно-конструкторская деятельность: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определять способы достижения целей проекта, выявлять приоритеты решения задач при производстве, модернизации и ремонте наземных транспортно-технологических средств, их технологического оборудования и комплексов на их базе (ПК-4);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способностью разрабатывать конкретные варианты решения проблем производства, модернизации и </w:t>
      </w:r>
      <w:proofErr w:type="gramStart"/>
      <w:r>
        <w:t>ремонта</w:t>
      </w:r>
      <w:proofErr w:type="gramEnd"/>
      <w:r>
        <w:t xml:space="preserve"> наземных транспортно-технологических средств, проводить анализ этих вариантов, осуществлять прогнозирование последствий, находить компромиссные решения в условиях многокритериальности и неопределенности (ПК-5);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использовать прикладные программы расчета узлов, агрегатов и систем транспортно-технологических средств и их технологического оборудования (ПК-6);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разрабатывать с использованием информационных технологий конструкторско-техническую документацию для производства новых или модернизируемых образцов наземных транспортно-технологических средств и их технологического оборудования (ПК-7);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разрабатывать технические условия, стандарты и технические описания наземных транспортно-технологических средств и их технологического оборудования (ПК-8);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сравнивать по критериям оценки проектируемые узлы и агрегаты с учетом требований надежности, технологичности, безопасности, охраны окружающей среды и конкурентоспособности (ПК-9);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производственно-технологическая деятельность: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способностью разрабатывать технологическую документацию для производства, модернизации, эксплуатации, технического обслуживания и </w:t>
      </w:r>
      <w:proofErr w:type="gramStart"/>
      <w:r>
        <w:t>ремонта</w:t>
      </w:r>
      <w:proofErr w:type="gramEnd"/>
      <w:r>
        <w:t xml:space="preserve"> наземных транспортно-технологических средств и их технологического и оборудования (ПК-10);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lastRenderedPageBreak/>
        <w:t xml:space="preserve">способностью осуществлять контроль за параметрами технологических процессов производства и </w:t>
      </w:r>
      <w:proofErr w:type="gramStart"/>
      <w:r>
        <w:t>эксплуатации</w:t>
      </w:r>
      <w:proofErr w:type="gramEnd"/>
      <w:r>
        <w:t xml:space="preserve"> наземных транспортно-технологических средств и их технологического оборудования (ПК-11);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проводить стандартные испытания наземных транспортно-технологических средств и их технологического оборудования (ПК-12);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организационно-управленческая деятельность: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способностью организовывать процесс производства узлов и </w:t>
      </w:r>
      <w:proofErr w:type="gramStart"/>
      <w:r>
        <w:t>агрегатов</w:t>
      </w:r>
      <w:proofErr w:type="gramEnd"/>
      <w:r>
        <w:t xml:space="preserve"> наземных транспортно-технологических средств и комплексов (ПК-13);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организовывать работу по эксплуатации наземных транспортно-технологических средств и комплексов (ПК-14);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организовывать технический контроль при исследовании, проектировании, производстве и эксплуатации наземных транспортно-технологических средств и их технологического оборудования (ПК-15);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составлять планы, программы, графики работ, сметы, заказы, заявки, инструкции и другую техническую документацию (ПК-16);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разрабатывать меры по повышению эффективности использования оборудования (ПК-17);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организовывать мероприятия по ликвидации последствий аварий, катастроф, стихийных бедствий и других чрезвычайных ситуаций (ПК-18).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5.5. Выпускник, освоивший программу специалитета, должен обладать профессионально-специализированными компетенциями, соответствующими специализации программы специалитета: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специализация N 1 "Автомобили и тракторы":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научно-исследовательская деятельность: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анализировать состояние и перспективы развития автомобилей и тракторов, их технологического оборудования и комплексов на их базе (ПСК-1.1);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проводить теоретические и экспериментальные научные исследования по поиску и проверке новых идей совершенствования автомобилей и тракторов (ПСК-1.2);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проектно-конструкторская деятельность: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lastRenderedPageBreak/>
        <w:t>способностью определять способы достижения целей проекта, выявлять приоритеты решения задач при производстве, модернизации и ремонте автомобилей и тракторов, их технологического оборудования и комплексов на их базе (ПСК-1.3);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разрабатывать конкретные варианты решения проблем производства, модернизации и ремонта автомобилей и тракторов, проводить анализ этих вариантов, осуществлять прогнозирование последствий, находить компромиссные решения в условиях многокритериальности и неопределенности (ПСК-1.4);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использовать прикладные программы расчета узлов, агрегатов и систем автомобилей и тракторов (ПСК-1.5);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разрабатывать с использованием информационных технологий, конструкторско-техническую документацию для производства новых или модернизируемых образцов автомобилей и тракторов и их технологического оборудования (ПСК-1.6);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разрабатывать технические условия, стандарты и технические описания автомобилей и тракторов (ПСК-1.7);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производственно-технологическая деятельность: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разрабатывать технологическую документацию для производства, модернизации, эксплуатации, технического обслуживания и ремонта автомобилей и тракторов (ПСК-1.8);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способностью осуществлять </w:t>
      </w:r>
      <w:proofErr w:type="gramStart"/>
      <w:r>
        <w:t>контроль за</w:t>
      </w:r>
      <w:proofErr w:type="gramEnd"/>
      <w:r>
        <w:t xml:space="preserve"> параметрами технологических процессов производства и эксплуатации наземных автомобилей и тракторов и их технологического оборудования (ПСК-1.9);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проводить стандартные испытания автомобилей и тракторов (ПСК-1.10);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организационно-управленческая деятельность: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организовывать процесс производства узлов и агрегатов автомобилей и тракторов (ПСК-1.11);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организовывать работу по эксплуатации автомобилей и тракторов (ПСК-1.12);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организовывать технический контроль при исследовании, проектировании, производстве и эксплуатации автомобилей и тракторов и их технологического оборудования (ПСК-1.13);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lastRenderedPageBreak/>
        <w:t>специализация N 2 "Подъемно-транспортные, строительные, дорожные средства и оборудование":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научно-исследовательская деятельность: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анализировать состояние и перспективы развития средств механизации и автоматизации подъемно-транспортных, строительных и дорожных работ, их технологического оборудования и комплексов на их базе (ПСК-2.1);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проводить теоретические и экспериментальные научные исследования по поиску и проверке новых идей совершенствования средств механизации и автоматизации подъемно-транспортных, строительных и дорожных работ (ПСК-2.2);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проектно-конструкторская деятельность: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определять способы достижения целей проекта, выявлять приоритеты решения задач при производстве, модернизации и ремонте средств механизации и автоматизации подъемно-транспортных, строительных и дорожных работ, их технологического оборудования и комплексов на их базе (ПСК-2.3);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разрабатывать конкретные варианты решения проблем производства, модернизации и ремонта средств механизации и автоматизации подъемно-транспортных, строительных и дорожных работ, проводить анализ этих вариантов, осуществлять прогнозирование последствий, находить компромиссные решения в условиях многокритериальности и неопределенности (ПСК-2.4);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разрабатывать с использованием информационных технологий, конструкторско-техническую документацию для производства новых или модернизируемых образцов средств механизации и автоматизации подъемно-транспортных, строительных и дорожных работ и их технологического оборудования (ПСК-2.5);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разрабатывать технические условия, стандарты и технические описания средств механизации и автоматизации подъемно-транспортных, строительных и дорожных работ (ПСК-2.6);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производственно-технологическая деятельность: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разрабатывать технологическую документацию для производства, модернизации, эксплуатации, технического обслуживания и ремонта средств механизации и автоматизации подъемно-транспортных, строительных и дорожных работ (ПСК-2.7);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lastRenderedPageBreak/>
        <w:t xml:space="preserve">способностью осуществлять </w:t>
      </w:r>
      <w:proofErr w:type="gramStart"/>
      <w:r>
        <w:t>контроль за</w:t>
      </w:r>
      <w:proofErr w:type="gramEnd"/>
      <w:r>
        <w:t xml:space="preserve"> параметрами технологических процессов производства и эксплуатации средств механизации и автоматизации подъемно-транспортных, строительных и дорожных работ и их технологического оборудования (ПСК-2.8);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проводить стандартные испытания средств механизации и автоматизации подъемно-транспортных, строительных и дорожных работ (ПСК-2.9);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организационно-управленческая деятельность: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организовывать процесс производства узлов и агрегатов средств механизации и автоматизации подъемно-транспортных, строительных и дорожных работ (ПСК-2.10);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организовывать работу по эксплуатации средств механизации и автоматизации подъемно-транспортных, строительных и дорожных работ (ПСК-2.11);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организовывать технический контроль при исследовании, проектировании, производстве и эксплуатации средств механизации и автоматизации подъемно-транспортных, строительных и дорожных работ и их технологического оборудования (ПСК-2.12);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специализация N 3 "Технические средства агропромышленного комплекса":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научно-исследовательская деятельность: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анализировать состояние и перспективы развития технических средств агропромышленного комплекса (далее - АПК) и комплексов на их базе (ПСК-3.1);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проводить теоретические и экспериментальные научные исследования по поиску и проверке новых идей совершенствования технологических процессов и технических средств их осуществления (ПСК-3.2);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способностью, используя теоретические положения и знание конструкций технических средств АПК, проводить системный анализ и структурно-параметрический синтез технических систем (ПСК-3.3);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проводить прогнозирование показателей технического уровня технических средств АПК, используя различие метода прогнозирования (ПСК-3.4);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lastRenderedPageBreak/>
        <w:t>проектно-конструкторская деятельность: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разрабатывать проектные задания, определять способы достижения целей проекта, выявлять приоритеты решения задач при разработке, производстве, модернизации и ремонте технических средств АПК и комплексов на их базе (ПСК-3.5);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разрабатывать конкретные конструктивные варианты технических средств АПК, решения проблем производства, их модернизации и ремонта, проводить анализ этих вариантов, осуществлять прогнозирование последствий, находить компромиссные решения в условиях многокритериальности и неопределенности (ПСК-3.6);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использовать прикладные программы проектно-конструкторских расчетов узлов, агрегатов и систем технических средств АПК (ПСК-3.7);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разрабатывать с использованием информационных технологий, конструкторско-техническую документацию для производства новых или модернизируемых образцов технических средств АПК (ПСК-3.8);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разрабатывать агротехнические требования, технические условия, стандарты и технические описания технических средств АПК (ПСК-3.9);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сравнивать по критериям оценки проектируемые, узлы, агрегаты и машины с учетом агротехнических требований, надежности, технологичности, безопасности, охраны окружающей среды и конкурентоспособности (ПСК-3.10);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обосновывать внешние характеристики технических средств АПК, определяющие типоразмер агрегата, его устойчивость, возможность агрегатирования с энергетическим средством (ПСК-3.11);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способностью, используя аналитические и численные методы оптимизации, искать оптимальные решения по созданию новых технологий и технических сре</w:t>
      </w:r>
      <w:proofErr w:type="gramStart"/>
      <w:r>
        <w:t>дств дл</w:t>
      </w:r>
      <w:proofErr w:type="gramEnd"/>
      <w:r>
        <w:t>я их реализации (ПСК-3.12);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решать задачи приспособленности технических средств АПК к работе в составе поточных технологических линий (ПСК-3.13);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проводить оценку производительности и экономических показателей технических средств АПК на стадии их проектирования (ПСК-3.14);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способностью обеспечить надежность технических средств АПК на </w:t>
      </w:r>
      <w:r>
        <w:lastRenderedPageBreak/>
        <w:t>стадии их проектирования (ПСК-3.15);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обеспечить качество технических средств АПК при их проектировании (ПСК-3.16);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разрабатывать проектную и рабочую конструкторскую документацию опытного образца технического средства АПК (ПСК-3.17);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производственно-технологическая деятельность: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разрабатывать технологическую документацию для производства, модернизации, эксплуатации, технического обслуживания, диагностирования и ремонта технических средств АПК (ПСК-3.18);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способностью осуществлять </w:t>
      </w:r>
      <w:proofErr w:type="gramStart"/>
      <w:r>
        <w:t>контроль за</w:t>
      </w:r>
      <w:proofErr w:type="gramEnd"/>
      <w:r>
        <w:t xml:space="preserve"> параметрами технологических процессов производства и эксплуатации технических средств АПК (ПСК-3.19);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проводить стандартные испытания технических средств АПК как механических систем и оценку их агрозоотехнических показателей (ПСК-3.20);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организационно-управленческая деятельность: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организовывать процесс производства узлов и агрегатов технических средств АПК и комплексов с использованием современных технологий (ПСК-3.21);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организовывать работу производственной и технической эксплуатации технических средств АПК и комплексов (ПСК-3.22);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организовывать технический контроль при исследовании, проектировании, производстве и эксплуатации технических средств АПК (ПСК-3.23);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специализация N 4 "Технические средства природообустройства и защиты в чрезвычайных ситуациях":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научно-исследовательская деятельность: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анализировать состояние и перспективы развития технических средств природообустройства и защиты в чрезвычайных ситуациях, их технологического оборудования и комплексов на их базе (ПСК-4.1);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способностью проводить теоретические и экспериментальные научные исследования по поиску и проверке новых идей совершенствования </w:t>
      </w:r>
      <w:r>
        <w:lastRenderedPageBreak/>
        <w:t>технических средств природообустройства и защиты в чрезвычайных ситуациях (ПСК-4.2);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проектно-конструкторская деятельность: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определять способы достижения целей проекта, выявлять приоритеты решения задач при производстве, модернизации и ремонте технических средств природообустройства и защиты в чрезвычайных ситуациях, их технологического оборудования и комплексов на их базе (ПСК-4.3);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разрабатывать конкретные варианты решения проблем производства, модернизации и ремонта технических средств природообустройства и защиты в чрезвычайных ситуациях, проводить анализ этих вариантов, осуществлять прогнозирование последствий, находить компромиссные решения в условиях многокритериальности и неопределенности (ПСК-4.4);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использовать прикладные программы расчета узлов, агрегатов и систем технических средств природообустройства и защиты в чрезвычайных ситуациях (ПСК-4.5);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разрабатывать с использованием информационных технологий, конструкторско-техническую документацию для производства новых или модернизируемых образцов технических средств природообустройства и защиты в чрезвычайных ситуациях и их технологического оборудования (ПСК-4.6);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разрабатывать технические условия, стандарты и технические описания технических средств природообустройства и защиты в чрезвычайных ситуациях (ПСК-4.7);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производственно-технологическая деятельность: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разрабатывать технологическую документацию для производства, модернизации, эксплуатации, технического обслуживания и ремонта технических средств природообустройства и защиты в чрезвычайных ситуациях (ПСК-4.8);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способностью осуществлять </w:t>
      </w:r>
      <w:proofErr w:type="gramStart"/>
      <w:r>
        <w:t>контроль за</w:t>
      </w:r>
      <w:proofErr w:type="gramEnd"/>
      <w:r>
        <w:t xml:space="preserve"> параметрами технологических процессов производства и эксплуатации технических средств природообустройства и защиты в чрезвычайных ситуациях и их технологического оборудования (ПСК-4.9);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проводить стандартные испытания технических средств природообустройства и защиты в чрезвычайных ситуациях (ПСК-4.10);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lastRenderedPageBreak/>
        <w:t>организационно-управленческая деятельность: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организовывать процесс производства узлов и агрегатов технических средств природообустройства и защиты в чрезвычайных ситуациях (ПСК-4.11);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организовывать работу по эксплуатации технических средств природообустройства и защиты в чрезвычайных ситуациях (ПСК-4.12);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организовывать технический контроль при исследовании, проектировании, производстве и эксплуатации технических средств природообустройства и защиты в чрезвычайных ситуациях и их технологического оборудования (ПСК-4.13);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специализация N 5 "Автомобильная техника в транспортных технологиях":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научно-исследовательская деятельность: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способностью анализировать состояние и перспективы развития технологий и оборудования для технического обслуживания, диагностирования и </w:t>
      </w:r>
      <w:proofErr w:type="gramStart"/>
      <w:r>
        <w:t>ремонта</w:t>
      </w:r>
      <w:proofErr w:type="gramEnd"/>
      <w:r>
        <w:t xml:space="preserve"> наземных транспортно-технологических средств (ПСК-5.1);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проводить теоретические и экспериментальные научные исследования по поиску и проверке новых идей совершенствования технологических процессов эксплуатации наземных транспортно-технологических средств (ПСК-5.2);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проводить прогнозирование показателей, характеризующих эксплуатацию наземных транспортно-технологических средств, используя различные методы прогнозирования (ПСК-5.3);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проектно-конструкторская деятельность: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определять способы достижения целей проекта, выявлять приоритеты решения задач при эксплуатации наземных транспортно-технологических средств (ПСК-5.4);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способностью использовать прикладные программы проектно-конструкторских расчетов узлов, агрегатов и систем оборудования для технического обслуживания, диагностирования и </w:t>
      </w:r>
      <w:proofErr w:type="gramStart"/>
      <w:r>
        <w:t>ремонта</w:t>
      </w:r>
      <w:proofErr w:type="gramEnd"/>
      <w:r>
        <w:t xml:space="preserve"> наземных транспортно-технологических средств (ПСК-5.5);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способностью разрабатывать с использованием информационных </w:t>
      </w:r>
      <w:r>
        <w:lastRenderedPageBreak/>
        <w:t xml:space="preserve">технологий конструкторско-техническую документацию для производства новых или модернизируемых образцов оборудования для технического обслуживания, диагностирования и </w:t>
      </w:r>
      <w:proofErr w:type="gramStart"/>
      <w:r>
        <w:t>ремонта</w:t>
      </w:r>
      <w:proofErr w:type="gramEnd"/>
      <w:r>
        <w:t xml:space="preserve"> наземных транспортно-технологических средств (ПСК-5.6);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способностью разрабатывать конкретные варианты решения проблем эксплуатации оборудования для технического обслуживания, диагностирования и </w:t>
      </w:r>
      <w:proofErr w:type="gramStart"/>
      <w:r>
        <w:t>ремонта</w:t>
      </w:r>
      <w:proofErr w:type="gramEnd"/>
      <w:r>
        <w:t xml:space="preserve"> наземных транспортно-технологических средств, проводить анализ этих вариантов, осуществлять прогнозирование последствий, находить компромиссные решения в условиях многокритериальности и неопределенности (ПСК-5.7);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способностью разрабатывать технические условия, стандарты и технические описания оборудования для технического обслуживания, диагностирования и </w:t>
      </w:r>
      <w:proofErr w:type="gramStart"/>
      <w:r>
        <w:t>ремонта</w:t>
      </w:r>
      <w:proofErr w:type="gramEnd"/>
      <w:r>
        <w:t xml:space="preserve"> наземных транспортно-технологических средств (ПСК-5.8);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производственно-технологическая деятельность: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разрабатывать технологическую документацию для процессов технического обслуживания, диагностирования и ремонта при эксплуатации наземных транспортно-технологических средств (ПСК-5.9);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способностью осуществлять контроль за параметрами технологических процессов технического обслуживания, ремонта и </w:t>
      </w:r>
      <w:proofErr w:type="gramStart"/>
      <w:r>
        <w:t>диагностики</w:t>
      </w:r>
      <w:proofErr w:type="gramEnd"/>
      <w:r>
        <w:t xml:space="preserve"> наземных транспортно-технологических средств (ПСК-5.10);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 проводить стандартные испытания оборудования для эксплуатации наземных транспортно-технологических средств (ПСК-5.11);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организационно-управленческая деятельность: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способностью, используя аналитические и численные методы оптимизации, искать оптимальные решения по созданию и применению новых технологий и технических сре</w:t>
      </w:r>
      <w:proofErr w:type="gramStart"/>
      <w:r>
        <w:t>дств дл</w:t>
      </w:r>
      <w:proofErr w:type="gramEnd"/>
      <w:r>
        <w:t>я их реализации (ПСК-5.12);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способностью организовывать работу по эксплуатации оборудования для технического обслуживания, ремонта и </w:t>
      </w:r>
      <w:proofErr w:type="gramStart"/>
      <w:r>
        <w:t>диагностики</w:t>
      </w:r>
      <w:proofErr w:type="gramEnd"/>
      <w:r>
        <w:t xml:space="preserve"> наземных транспортно-технологических средств (ПСК-5.13).</w:t>
      </w:r>
    </w:p>
    <w:p w:rsidR="007A6110" w:rsidRDefault="007A6110">
      <w:pPr>
        <w:pStyle w:val="ConsPlusNormal"/>
        <w:spacing w:before="280"/>
        <w:ind w:firstLine="540"/>
        <w:jc w:val="both"/>
      </w:pPr>
      <w:bookmarkStart w:id="1" w:name="P377"/>
      <w:bookmarkEnd w:id="1"/>
      <w:r>
        <w:t>5.6. При разработке программы специалитета все общекультурные, общепрофессиональные, профессиональные компетенции, отнесенные к тем видам профессиональной деятельности, на которые ориентирована программа специалитета, и профессионально-специализированные компетенции, отнесенные к выбранной специализации, включаются в набор требуемых результатов освоения программы специалитета.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lastRenderedPageBreak/>
        <w:t xml:space="preserve">5.7. При разработке программы специалитета организация вправе дополнить набор компетенций, указанных в </w:t>
      </w:r>
      <w:hyperlink w:anchor="P377" w:history="1">
        <w:r>
          <w:rPr>
            <w:color w:val="0000FF"/>
          </w:rPr>
          <w:t>пункте 5.6</w:t>
        </w:r>
      </w:hyperlink>
      <w:r>
        <w:t xml:space="preserve"> настоящего ФГОС </w:t>
      </w:r>
      <w:proofErr w:type="gramStart"/>
      <w:r>
        <w:t>ВО</w:t>
      </w:r>
      <w:proofErr w:type="gramEnd"/>
      <w:r>
        <w:t>, иными компетенциями с учетом направленности программы специалитета.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5.8. При разработке программы специалитета требования к результатам </w:t>
      </w:r>
      <w:proofErr w:type="gramStart"/>
      <w:r>
        <w:t>обучения по</w:t>
      </w:r>
      <w:proofErr w:type="gramEnd"/>
      <w:r>
        <w:t xml:space="preserve"> отдельным дисциплинам (модулям), практикам организация устанавливает самостоятельно с учетом требований соответствующих примерных основных образовательных программ.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5.9. </w:t>
      </w:r>
      <w:proofErr w:type="gramStart"/>
      <w:r>
        <w:t xml:space="preserve">Программы специалитета, реализуемые в интересах обороны и безопасности государства, обеспечения законности и правопорядка в федеральных государственных организациях, находящихся в ведении федеральных государственных органов, указанных в </w:t>
      </w:r>
      <w:hyperlink r:id="rId14" w:history="1">
        <w:r>
          <w:rPr>
            <w:color w:val="0000FF"/>
          </w:rPr>
          <w:t>части 1 статьи 81</w:t>
        </w:r>
      </w:hyperlink>
      <w:r>
        <w:t xml:space="preserve"> Федерального закона от 29 декабря 2012 г. N 273-ФЗ "Об образовании в Российской Федерации" (далее - федеральные государственные органы), разрабатываются на основе требований, предусмотренных указанным Федеральным </w:t>
      </w:r>
      <w:hyperlink r:id="rId15" w:history="1">
        <w:r>
          <w:rPr>
            <w:color w:val="0000FF"/>
          </w:rPr>
          <w:t>законом</w:t>
        </w:r>
      </w:hyperlink>
      <w:r>
        <w:t>, а также квалификационных требований к</w:t>
      </w:r>
      <w:proofErr w:type="gramEnd"/>
      <w:r>
        <w:t xml:space="preserve"> военно-профессиональной подготовке, специальной профессиональной подготовке выпускников, устанавливаемых федеральным государственным органом, в ведении которого находятся соответствующие организации &lt;1&gt;.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7A6110" w:rsidRDefault="007A6110">
      <w:pPr>
        <w:pStyle w:val="ConsPlusNormal"/>
        <w:spacing w:before="280"/>
        <w:ind w:firstLine="540"/>
        <w:jc w:val="both"/>
      </w:pPr>
      <w:proofErr w:type="gramStart"/>
      <w:r>
        <w:t xml:space="preserve">&lt;1&gt; </w:t>
      </w:r>
      <w:hyperlink r:id="rId16" w:history="1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</w:t>
      </w:r>
      <w:proofErr w:type="gramEnd"/>
      <w:r>
        <w:t xml:space="preserve"> </w:t>
      </w:r>
      <w:proofErr w:type="gramStart"/>
      <w:r>
        <w:t>N 19, ст. 2289; N 22, ст. 2769; N 23, ст. 2933; N 26, ст. 3388; N 30, ст. 4217, ст. 4257, ст. 4263; 2015, N 1, ст. 42, ст. 53, ст. 72; N 14, ст. 2008, N 27, ст. 3951, ст. 3989; N 29, ст. 4339, ст. 4364; N 51, ст. 7241;</w:t>
      </w:r>
      <w:proofErr w:type="gramEnd"/>
      <w:r>
        <w:t xml:space="preserve"> </w:t>
      </w:r>
      <w:proofErr w:type="gramStart"/>
      <w:r>
        <w:t>2016, N 1, ст. 8, ст. 9, ст. 24, ст. 78; N 10, ст. 1320; N 23, ст. 3289, ст. 3290; N 27, ст. 4160, ст. 4219, ст. 4223, ст. 4238, ст. 4239, ст. 4246, ст. 4292).</w:t>
      </w:r>
      <w:proofErr w:type="gramEnd"/>
    </w:p>
    <w:p w:rsidR="007A6110" w:rsidRDefault="007A6110">
      <w:pPr>
        <w:pStyle w:val="ConsPlusNormal"/>
        <w:jc w:val="both"/>
      </w:pPr>
    </w:p>
    <w:p w:rsidR="007A6110" w:rsidRDefault="007A6110">
      <w:pPr>
        <w:pStyle w:val="ConsPlusTitle"/>
        <w:jc w:val="center"/>
        <w:outlineLvl w:val="1"/>
      </w:pPr>
      <w:r>
        <w:t>VI. ТРЕБОВАНИЯ К СТРУКТУРЕ ПРОГРАММЫ СПЕЦИАЛИТЕТА</w:t>
      </w:r>
    </w:p>
    <w:p w:rsidR="007A6110" w:rsidRDefault="007A6110">
      <w:pPr>
        <w:pStyle w:val="ConsPlusNormal"/>
        <w:jc w:val="both"/>
      </w:pPr>
    </w:p>
    <w:p w:rsidR="007A6110" w:rsidRDefault="007A6110">
      <w:pPr>
        <w:pStyle w:val="ConsPlusNormal"/>
        <w:ind w:firstLine="540"/>
        <w:jc w:val="both"/>
      </w:pPr>
      <w:r>
        <w:t>6.1. Структура программы специалитета включает обязательную часть (базовую) и часть, формируемую участниками образовательных отношений (вариативную). Это обеспечивает возможность реализации программ специалитета, имеющих различную направленность (профиль) образования в рамках одной специализации программы специалитета.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6.2. Программа специалитета состоит из следующих блоков:</w:t>
      </w:r>
    </w:p>
    <w:p w:rsidR="007A6110" w:rsidRDefault="007A6110">
      <w:pPr>
        <w:pStyle w:val="ConsPlusNormal"/>
        <w:spacing w:before="280"/>
        <w:ind w:firstLine="540"/>
        <w:jc w:val="both"/>
      </w:pPr>
      <w:hyperlink w:anchor="P400" w:history="1">
        <w:r>
          <w:rPr>
            <w:color w:val="0000FF"/>
          </w:rPr>
          <w:t>Блок 1</w:t>
        </w:r>
      </w:hyperlink>
      <w:r>
        <w:t xml:space="preserve"> "Дисциплины (модули)", который включает дисциплины (модули), относящиеся к базовой части программы, и дисциплины (модули), </w:t>
      </w:r>
      <w:r>
        <w:lastRenderedPageBreak/>
        <w:t>относящиеся к ее вариативной части;</w:t>
      </w:r>
    </w:p>
    <w:p w:rsidR="007A6110" w:rsidRDefault="007A6110">
      <w:pPr>
        <w:pStyle w:val="ConsPlusNormal"/>
        <w:spacing w:before="280"/>
        <w:ind w:firstLine="540"/>
        <w:jc w:val="both"/>
      </w:pPr>
      <w:hyperlink w:anchor="P409" w:history="1">
        <w:r>
          <w:rPr>
            <w:color w:val="0000FF"/>
          </w:rPr>
          <w:t>Блок 2</w:t>
        </w:r>
      </w:hyperlink>
      <w:r>
        <w:t xml:space="preserve"> "Практики, в том числе научно-исследовательская работа (НИР)", который в полном объеме относится к базовой части программы;</w:t>
      </w:r>
    </w:p>
    <w:p w:rsidR="007A6110" w:rsidRDefault="007A6110">
      <w:pPr>
        <w:pStyle w:val="ConsPlusNormal"/>
        <w:spacing w:before="280"/>
        <w:ind w:firstLine="540"/>
        <w:jc w:val="both"/>
      </w:pPr>
      <w:hyperlink w:anchor="P414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аттестация", который в полном объеме относится к базовой части программы и завершается присвоением квалификации, указанной в перечне специальностей </w:t>
      </w:r>
      <w:proofErr w:type="gramStart"/>
      <w:r>
        <w:t>высшего</w:t>
      </w:r>
      <w:proofErr w:type="gramEnd"/>
      <w:r>
        <w:t xml:space="preserve"> образования, утвержденном Министерством образования и науки Российской Федерации &lt;1&gt;.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7A6110" w:rsidRDefault="007A6110">
      <w:pPr>
        <w:pStyle w:val="ConsPlusNormal"/>
        <w:spacing w:before="280"/>
        <w:ind w:firstLine="540"/>
        <w:jc w:val="both"/>
      </w:pPr>
      <w:proofErr w:type="gramStart"/>
      <w:r>
        <w:t xml:space="preserve">&lt;1&gt; </w:t>
      </w:r>
      <w:hyperlink r:id="rId17" w:history="1">
        <w:r>
          <w:rPr>
            <w:color w:val="0000FF"/>
          </w:rPr>
          <w:t>Перечень</w:t>
        </w:r>
      </w:hyperlink>
      <w:r>
        <w:t xml:space="preserve"> специальностей высшего образования - специалитета, утвержденный приказом Министерства образования и науки Российской Федерации от 12 сентября 2013 г. N 1061 (зарегистрирован Министерством юстиции Российской Федерации 14 октября 2013 г., регистрационный N 30163), с изменениями, внесенными приказами Министерства образования и науки Российской Федерации от 29 января 2014 г. N 63 (зарегистрирован Министерством юстиции Российской Федерации 28 февраля 2014 г., регистрационный</w:t>
      </w:r>
      <w:proofErr w:type="gramEnd"/>
      <w:r>
        <w:t xml:space="preserve"> </w:t>
      </w:r>
      <w:proofErr w:type="gramStart"/>
      <w:r>
        <w:t>N 31448), от 20 августа 2014 г. N 1033 (зарегистрирован Министерством юстиции Российской Федерации 3 сентября 2014 г., регистрационный N 33947), от 13 октября 2014 г. N 1313 (зарегистрирован Министерством юстиции Российской Федерации 13 ноября 2014 г., регистрационный N 34691), от 25 марта 2015 г. N 270 (зарегистрирован Министерством юстиции Российской Федерации 22 апреля 2015 г., регистрационный N 36994) и</w:t>
      </w:r>
      <w:proofErr w:type="gramEnd"/>
      <w:r>
        <w:t xml:space="preserve"> от 1 октября 2015 г. N 1080 (зарегистрирован Министерством юстиции Российской Федерации 19 октября 2015 г., регистрационный N 39355).</w:t>
      </w:r>
    </w:p>
    <w:p w:rsidR="007A6110" w:rsidRDefault="007A6110">
      <w:pPr>
        <w:pStyle w:val="ConsPlusNormal"/>
        <w:jc w:val="both"/>
      </w:pPr>
    </w:p>
    <w:p w:rsidR="007A6110" w:rsidRDefault="007A6110">
      <w:pPr>
        <w:sectPr w:rsidR="007A6110" w:rsidSect="007206C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A6110" w:rsidRDefault="007A6110">
      <w:pPr>
        <w:pStyle w:val="ConsPlusTitle"/>
        <w:jc w:val="center"/>
        <w:outlineLvl w:val="2"/>
      </w:pPr>
      <w:r>
        <w:lastRenderedPageBreak/>
        <w:t>Структура программы специалитета</w:t>
      </w:r>
    </w:p>
    <w:p w:rsidR="007A6110" w:rsidRDefault="007A6110">
      <w:pPr>
        <w:pStyle w:val="ConsPlusNormal"/>
        <w:jc w:val="both"/>
      </w:pPr>
    </w:p>
    <w:p w:rsidR="007A6110" w:rsidRDefault="007A6110">
      <w:pPr>
        <w:pStyle w:val="ConsPlusNormal"/>
        <w:jc w:val="right"/>
      </w:pPr>
      <w:r>
        <w:t>Таблица</w:t>
      </w:r>
    </w:p>
    <w:p w:rsidR="007A6110" w:rsidRDefault="007A611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6"/>
        <w:gridCol w:w="6706"/>
        <w:gridCol w:w="2160"/>
      </w:tblGrid>
      <w:tr w:rsidR="007A6110">
        <w:tc>
          <w:tcPr>
            <w:tcW w:w="7622" w:type="dxa"/>
            <w:gridSpan w:val="2"/>
          </w:tcPr>
          <w:p w:rsidR="007A6110" w:rsidRDefault="007A6110">
            <w:pPr>
              <w:pStyle w:val="ConsPlusNormal"/>
              <w:jc w:val="center"/>
            </w:pPr>
            <w:r>
              <w:t>Структура программы специалитета</w:t>
            </w:r>
          </w:p>
        </w:tc>
        <w:tc>
          <w:tcPr>
            <w:tcW w:w="2160" w:type="dxa"/>
          </w:tcPr>
          <w:p w:rsidR="007A6110" w:rsidRDefault="007A6110">
            <w:pPr>
              <w:pStyle w:val="ConsPlusNormal"/>
              <w:jc w:val="center"/>
            </w:pPr>
            <w:r>
              <w:t>Объем программы специалитета в з.е.</w:t>
            </w:r>
          </w:p>
        </w:tc>
      </w:tr>
      <w:tr w:rsidR="007A6110">
        <w:tc>
          <w:tcPr>
            <w:tcW w:w="916" w:type="dxa"/>
            <w:vMerge w:val="restart"/>
          </w:tcPr>
          <w:p w:rsidR="007A6110" w:rsidRDefault="007A6110">
            <w:pPr>
              <w:pStyle w:val="ConsPlusNormal"/>
            </w:pPr>
            <w:bookmarkStart w:id="2" w:name="P400"/>
            <w:bookmarkEnd w:id="2"/>
            <w:r>
              <w:t>Блок 1</w:t>
            </w:r>
          </w:p>
        </w:tc>
        <w:tc>
          <w:tcPr>
            <w:tcW w:w="6706" w:type="dxa"/>
          </w:tcPr>
          <w:p w:rsidR="007A6110" w:rsidRDefault="007A6110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2160" w:type="dxa"/>
          </w:tcPr>
          <w:p w:rsidR="007A6110" w:rsidRDefault="007A6110">
            <w:pPr>
              <w:pStyle w:val="ConsPlusNormal"/>
              <w:jc w:val="center"/>
            </w:pPr>
            <w:r>
              <w:t>260</w:t>
            </w:r>
          </w:p>
        </w:tc>
      </w:tr>
      <w:tr w:rsidR="007A6110">
        <w:tblPrEx>
          <w:tblBorders>
            <w:insideH w:val="nil"/>
          </w:tblBorders>
        </w:tblPrEx>
        <w:tc>
          <w:tcPr>
            <w:tcW w:w="916" w:type="dxa"/>
            <w:vMerge/>
          </w:tcPr>
          <w:p w:rsidR="007A6110" w:rsidRDefault="007A6110"/>
        </w:tc>
        <w:tc>
          <w:tcPr>
            <w:tcW w:w="6706" w:type="dxa"/>
            <w:tcBorders>
              <w:bottom w:val="nil"/>
            </w:tcBorders>
          </w:tcPr>
          <w:p w:rsidR="007A6110" w:rsidRDefault="007A6110">
            <w:pPr>
              <w:pStyle w:val="ConsPlusNormal"/>
            </w:pPr>
            <w:bookmarkStart w:id="3" w:name="P403"/>
            <w:bookmarkEnd w:id="3"/>
            <w:r>
              <w:t>Базовая часть</w:t>
            </w:r>
          </w:p>
        </w:tc>
        <w:tc>
          <w:tcPr>
            <w:tcW w:w="2160" w:type="dxa"/>
            <w:tcBorders>
              <w:bottom w:val="nil"/>
            </w:tcBorders>
          </w:tcPr>
          <w:p w:rsidR="007A6110" w:rsidRDefault="007A6110">
            <w:pPr>
              <w:pStyle w:val="ConsPlusNormal"/>
              <w:jc w:val="center"/>
            </w:pPr>
            <w:r>
              <w:t>171 - 192</w:t>
            </w:r>
          </w:p>
        </w:tc>
      </w:tr>
      <w:tr w:rsidR="007A6110">
        <w:tblPrEx>
          <w:tblBorders>
            <w:insideH w:val="nil"/>
          </w:tblBorders>
        </w:tblPrEx>
        <w:tc>
          <w:tcPr>
            <w:tcW w:w="916" w:type="dxa"/>
            <w:vMerge/>
          </w:tcPr>
          <w:p w:rsidR="007A6110" w:rsidRDefault="007A6110"/>
        </w:tc>
        <w:tc>
          <w:tcPr>
            <w:tcW w:w="6706" w:type="dxa"/>
            <w:tcBorders>
              <w:top w:val="nil"/>
            </w:tcBorders>
          </w:tcPr>
          <w:p w:rsidR="007A6110" w:rsidRDefault="007A6110">
            <w:pPr>
              <w:pStyle w:val="ConsPlusNormal"/>
            </w:pPr>
            <w:r>
              <w:t>В том числе дисциплины (модули) специализации</w:t>
            </w:r>
          </w:p>
        </w:tc>
        <w:tc>
          <w:tcPr>
            <w:tcW w:w="2160" w:type="dxa"/>
            <w:tcBorders>
              <w:top w:val="nil"/>
            </w:tcBorders>
          </w:tcPr>
          <w:p w:rsidR="007A6110" w:rsidRDefault="007A6110">
            <w:pPr>
              <w:pStyle w:val="ConsPlusNormal"/>
              <w:jc w:val="center"/>
            </w:pPr>
            <w:r>
              <w:t>93 - 102</w:t>
            </w:r>
          </w:p>
        </w:tc>
      </w:tr>
      <w:tr w:rsidR="007A6110">
        <w:tc>
          <w:tcPr>
            <w:tcW w:w="916" w:type="dxa"/>
            <w:vMerge/>
          </w:tcPr>
          <w:p w:rsidR="007A6110" w:rsidRDefault="007A6110"/>
        </w:tc>
        <w:tc>
          <w:tcPr>
            <w:tcW w:w="6706" w:type="dxa"/>
            <w:vAlign w:val="bottom"/>
          </w:tcPr>
          <w:p w:rsidR="007A6110" w:rsidRDefault="007A6110">
            <w:pPr>
              <w:pStyle w:val="ConsPlusNormal"/>
            </w:pPr>
            <w:bookmarkStart w:id="4" w:name="P407"/>
            <w:bookmarkEnd w:id="4"/>
            <w:r>
              <w:t>Вариативная часть</w:t>
            </w:r>
          </w:p>
        </w:tc>
        <w:tc>
          <w:tcPr>
            <w:tcW w:w="2160" w:type="dxa"/>
            <w:vAlign w:val="bottom"/>
          </w:tcPr>
          <w:p w:rsidR="007A6110" w:rsidRDefault="007A6110">
            <w:pPr>
              <w:pStyle w:val="ConsPlusNormal"/>
              <w:jc w:val="center"/>
            </w:pPr>
            <w:r>
              <w:t>68 - 89</w:t>
            </w:r>
          </w:p>
        </w:tc>
      </w:tr>
      <w:tr w:rsidR="007A6110">
        <w:tc>
          <w:tcPr>
            <w:tcW w:w="916" w:type="dxa"/>
            <w:vMerge w:val="restart"/>
          </w:tcPr>
          <w:p w:rsidR="007A6110" w:rsidRDefault="007A6110">
            <w:pPr>
              <w:pStyle w:val="ConsPlusNormal"/>
            </w:pPr>
            <w:bookmarkStart w:id="5" w:name="P409"/>
            <w:bookmarkEnd w:id="5"/>
            <w:r>
              <w:t>Блок 2</w:t>
            </w:r>
          </w:p>
        </w:tc>
        <w:tc>
          <w:tcPr>
            <w:tcW w:w="6706" w:type="dxa"/>
          </w:tcPr>
          <w:p w:rsidR="007A6110" w:rsidRDefault="007A6110">
            <w:pPr>
              <w:pStyle w:val="ConsPlusNormal"/>
            </w:pPr>
            <w:r>
              <w:t>Практики, в том числе научно-исследовательская работа (НИР)</w:t>
            </w:r>
          </w:p>
        </w:tc>
        <w:tc>
          <w:tcPr>
            <w:tcW w:w="2160" w:type="dxa"/>
          </w:tcPr>
          <w:p w:rsidR="007A6110" w:rsidRDefault="007A6110">
            <w:pPr>
              <w:pStyle w:val="ConsPlusNormal"/>
              <w:jc w:val="center"/>
            </w:pPr>
            <w:r>
              <w:t>31 - 34</w:t>
            </w:r>
          </w:p>
        </w:tc>
      </w:tr>
      <w:tr w:rsidR="007A6110">
        <w:tc>
          <w:tcPr>
            <w:tcW w:w="916" w:type="dxa"/>
            <w:vMerge/>
          </w:tcPr>
          <w:p w:rsidR="007A6110" w:rsidRDefault="007A6110"/>
        </w:tc>
        <w:tc>
          <w:tcPr>
            <w:tcW w:w="6706" w:type="dxa"/>
          </w:tcPr>
          <w:p w:rsidR="007A6110" w:rsidRDefault="007A6110">
            <w:pPr>
              <w:pStyle w:val="ConsPlusNormal"/>
            </w:pPr>
            <w:r>
              <w:t>Базовая часть</w:t>
            </w:r>
          </w:p>
        </w:tc>
        <w:tc>
          <w:tcPr>
            <w:tcW w:w="2160" w:type="dxa"/>
          </w:tcPr>
          <w:p w:rsidR="007A6110" w:rsidRDefault="007A6110">
            <w:pPr>
              <w:pStyle w:val="ConsPlusNormal"/>
              <w:jc w:val="center"/>
            </w:pPr>
            <w:r>
              <w:t>31 - 34</w:t>
            </w:r>
          </w:p>
        </w:tc>
      </w:tr>
      <w:tr w:rsidR="007A6110">
        <w:tc>
          <w:tcPr>
            <w:tcW w:w="916" w:type="dxa"/>
            <w:vMerge w:val="restart"/>
          </w:tcPr>
          <w:p w:rsidR="007A6110" w:rsidRDefault="007A6110">
            <w:pPr>
              <w:pStyle w:val="ConsPlusNormal"/>
            </w:pPr>
            <w:bookmarkStart w:id="6" w:name="P414"/>
            <w:bookmarkEnd w:id="6"/>
            <w:r>
              <w:t>Блок 3</w:t>
            </w:r>
          </w:p>
        </w:tc>
        <w:tc>
          <w:tcPr>
            <w:tcW w:w="6706" w:type="dxa"/>
          </w:tcPr>
          <w:p w:rsidR="007A6110" w:rsidRDefault="007A6110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2160" w:type="dxa"/>
          </w:tcPr>
          <w:p w:rsidR="007A6110" w:rsidRDefault="007A6110">
            <w:pPr>
              <w:pStyle w:val="ConsPlusNormal"/>
              <w:jc w:val="center"/>
            </w:pPr>
            <w:r>
              <w:t>6 - 9</w:t>
            </w:r>
          </w:p>
        </w:tc>
      </w:tr>
      <w:tr w:rsidR="007A6110">
        <w:tc>
          <w:tcPr>
            <w:tcW w:w="916" w:type="dxa"/>
            <w:vMerge/>
          </w:tcPr>
          <w:p w:rsidR="007A6110" w:rsidRDefault="007A6110"/>
        </w:tc>
        <w:tc>
          <w:tcPr>
            <w:tcW w:w="6706" w:type="dxa"/>
          </w:tcPr>
          <w:p w:rsidR="007A6110" w:rsidRDefault="007A6110">
            <w:pPr>
              <w:pStyle w:val="ConsPlusNormal"/>
            </w:pPr>
            <w:r>
              <w:t>Базовая часть</w:t>
            </w:r>
          </w:p>
        </w:tc>
        <w:tc>
          <w:tcPr>
            <w:tcW w:w="2160" w:type="dxa"/>
          </w:tcPr>
          <w:p w:rsidR="007A6110" w:rsidRDefault="007A6110">
            <w:pPr>
              <w:pStyle w:val="ConsPlusNormal"/>
              <w:jc w:val="center"/>
            </w:pPr>
            <w:r>
              <w:t>6 - 9</w:t>
            </w:r>
          </w:p>
        </w:tc>
      </w:tr>
      <w:tr w:rsidR="007A6110">
        <w:tc>
          <w:tcPr>
            <w:tcW w:w="7622" w:type="dxa"/>
            <w:gridSpan w:val="2"/>
          </w:tcPr>
          <w:p w:rsidR="007A6110" w:rsidRDefault="007A6110">
            <w:pPr>
              <w:pStyle w:val="ConsPlusNormal"/>
            </w:pPr>
            <w:r>
              <w:t>Объем программы специалитета</w:t>
            </w:r>
          </w:p>
        </w:tc>
        <w:tc>
          <w:tcPr>
            <w:tcW w:w="2160" w:type="dxa"/>
          </w:tcPr>
          <w:p w:rsidR="007A6110" w:rsidRDefault="007A6110">
            <w:pPr>
              <w:pStyle w:val="ConsPlusNormal"/>
              <w:jc w:val="center"/>
            </w:pPr>
            <w:r>
              <w:t>300</w:t>
            </w:r>
          </w:p>
        </w:tc>
      </w:tr>
    </w:tbl>
    <w:p w:rsidR="007A6110" w:rsidRDefault="007A6110">
      <w:pPr>
        <w:sectPr w:rsidR="007A6110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7A6110" w:rsidRDefault="007A6110">
      <w:pPr>
        <w:pStyle w:val="ConsPlusNormal"/>
        <w:jc w:val="both"/>
      </w:pPr>
    </w:p>
    <w:p w:rsidR="007A6110" w:rsidRDefault="007A6110">
      <w:pPr>
        <w:pStyle w:val="ConsPlusNormal"/>
        <w:ind w:firstLine="540"/>
        <w:jc w:val="both"/>
      </w:pPr>
      <w:r>
        <w:t xml:space="preserve">6.3. </w:t>
      </w:r>
      <w:proofErr w:type="gramStart"/>
      <w:r>
        <w:t>Дисциплины (модули), относящиеся к базовой части программы специалитета, включая дисциплины (модули) специализации, являются обязательными для освоения обучающимся вне зависимости от направленности (профиля) программы, которую он осваивает.</w:t>
      </w:r>
      <w:proofErr w:type="gramEnd"/>
      <w:r>
        <w:t xml:space="preserve"> </w:t>
      </w:r>
      <w:proofErr w:type="gramStart"/>
      <w:r>
        <w:t>Набор дисциплин (модулей), относящихся к базовой части программы специалитета, организация определяет самостоятельно в объеме, установленном настоящим ФГОС ВО, с учетом соответствующей (соответствующих) примерной (примерных) основной (основных) образовательной (образовательных) программы (программ).</w:t>
      </w:r>
      <w:proofErr w:type="gramEnd"/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6.4. Дисциплины (модули) по философии, истории, иностранному языку, безопасности жизнедеятельности реализуются в рамках </w:t>
      </w:r>
      <w:hyperlink w:anchor="P403" w:history="1">
        <w:r>
          <w:rPr>
            <w:color w:val="0000FF"/>
          </w:rPr>
          <w:t>базовой части</w:t>
        </w:r>
      </w:hyperlink>
      <w:r>
        <w:t xml:space="preserve"> Блока 1 "Дисциплины (модули)" программы специалитета. Объем, содержание и порядок реализации указанных дисциплин (модулей) определяются организацией самостоятельно.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6.5. Дисциплины (модули) по физической культуре и спорту реализуются в рамках:</w:t>
      </w:r>
    </w:p>
    <w:p w:rsidR="007A6110" w:rsidRDefault="007A6110">
      <w:pPr>
        <w:pStyle w:val="ConsPlusNormal"/>
        <w:spacing w:before="280"/>
        <w:ind w:firstLine="540"/>
        <w:jc w:val="both"/>
      </w:pPr>
      <w:hyperlink w:anchor="P403" w:history="1">
        <w:r>
          <w:rPr>
            <w:color w:val="0000FF"/>
          </w:rPr>
          <w:t>базовой части</w:t>
        </w:r>
      </w:hyperlink>
      <w:r>
        <w:t xml:space="preserve"> Блока 1 "Дисциплины (модули)" программы специалитета в объеме не менее 72 академических часов (2 з.е.) в очной форме обучения;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элективных дисциплин (модулей) в объеме не менее 328 академических часов. Указанные академические часы являются обязательными для освоения и в з.е. не переводятся.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ограниченными возможностями здоровья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В федеральных государственных организациях, находящихся в ведении федеральных государственных органов, осуществляющих подготовку кадров в интересах обороны и безопасности государства, обеспечения законности и правопорядка, в рамках </w:t>
      </w:r>
      <w:hyperlink w:anchor="P403" w:history="1">
        <w:r>
          <w:rPr>
            <w:color w:val="0000FF"/>
          </w:rPr>
          <w:t>базовой части</w:t>
        </w:r>
      </w:hyperlink>
      <w:r>
        <w:t xml:space="preserve"> Блока 1 "Дисциплины (модули)" реализуется дисциплина (модуль) "Физическая подготовка" в объеме не менее 11 з.е. в очной форме обучения.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6.6. Дисциплины (модули), относящиеся к вариативной части программы специалитета, определяют направленность (профиль) программы специалитета.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Набор дисциплин (модулей), относящихся к вариативной части программы специалитета, организация определяет самостоятельно в объеме, </w:t>
      </w:r>
      <w:r>
        <w:lastRenderedPageBreak/>
        <w:t xml:space="preserve">установленном настоящим ФГОС </w:t>
      </w:r>
      <w:proofErr w:type="gramStart"/>
      <w:r>
        <w:t>ВО</w:t>
      </w:r>
      <w:proofErr w:type="gramEnd"/>
      <w:r>
        <w:t>. После выбора обучающимся направленности (профиля) программы специалитета набор соответствующих дисциплин (модулей) становится обязательным для освоения обучающимся.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6.7. В </w:t>
      </w:r>
      <w:hyperlink w:anchor="P409" w:history="1">
        <w:r>
          <w:rPr>
            <w:color w:val="0000FF"/>
          </w:rPr>
          <w:t>Блок 2</w:t>
        </w:r>
      </w:hyperlink>
      <w:r>
        <w:t xml:space="preserve"> "Практики, в том числе научно-исследовательская работа (НИР)" входят учебная и производственная, в том числе преддипломная, практики.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Типы учебной практики: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практика по получению первичных профессиональных умений и навыков, в том числе первичных умений и навыков научно-исследовательской деятельности;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технологическая практика.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Типы производственной практики: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практика по получению профессиональных умений и опыта профессиональной деятельности;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технологическая практика;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конструкторская практика;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научно-исследовательская работа;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Способы проведения учебной и производственной практики: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стационарная;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выездная.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Преддипломная практика проводится для выполнения выпускной квалификационной работы и является обязательной.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При разработке программ специалитета организация выбирает типы практик в зависимости от вида (видов) деятельности, на который (которые) ориентирована программа специалитета и специализации. Организация вправе предусмотреть в программе специалитета иные типы практик дополнительно </w:t>
      </w:r>
      <w:proofErr w:type="gramStart"/>
      <w:r>
        <w:t>к</w:t>
      </w:r>
      <w:proofErr w:type="gramEnd"/>
      <w:r>
        <w:t xml:space="preserve"> установленным настоящим ФГОС ВО.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Учебная и (или) производственная практики могут проводиться в структурных подразделениях организации.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Выбор мест прохождения практик для лиц с ограниченными возможностями здоровья производится с учетом состояния здоровья </w:t>
      </w:r>
      <w:r>
        <w:lastRenderedPageBreak/>
        <w:t>обучающихся и требований по доступности.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6.8. В </w:t>
      </w:r>
      <w:hyperlink w:anchor="P414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входит защита выпускной квалификационной работы, включая подготовку к процедуре защиты и процедуру защиты, а также 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6.9. </w:t>
      </w:r>
      <w:proofErr w:type="gramStart"/>
      <w:r>
        <w:t>Реализация части (частей) образовательной программы и государственной итоговой аттестации, в рамках которой (которых) до обучающихся доводятся сведения ограниченного доступа и (или) в учебных целях используются секретные образцы вооружения, военной техники, их комплектующие изделия, не допускается с применением электронного обучения, дистанционных образовательных технологий.</w:t>
      </w:r>
      <w:proofErr w:type="gramEnd"/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6.10. При разработке программы специалитета обучающимся обеспечивается возможность освоения дисциплин (модулей) по выбору, в том числе специальные условия инвалидам и лицам с ограниченными возможностями здоровья, в объеме не менее 30 процентов </w:t>
      </w:r>
      <w:hyperlink w:anchor="P407" w:history="1">
        <w:r>
          <w:rPr>
            <w:color w:val="0000FF"/>
          </w:rPr>
          <w:t>вариативной части</w:t>
        </w:r>
      </w:hyperlink>
      <w:r>
        <w:t xml:space="preserve"> Блока 1 "Дисциплины (модули)".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6.11. Количество часов, отведенных на занятия лекционного типа, в целом по </w:t>
      </w:r>
      <w:hyperlink w:anchor="P400" w:history="1">
        <w:r>
          <w:rPr>
            <w:color w:val="0000FF"/>
          </w:rPr>
          <w:t>Блоку 1</w:t>
        </w:r>
      </w:hyperlink>
      <w:r>
        <w:t xml:space="preserve"> "Дисциплины (модули)", должно составлять не более 50 процентов от общего количества часов аудиторных занятий, отведенных на реализацию данного Блока.</w:t>
      </w:r>
    </w:p>
    <w:p w:rsidR="007A6110" w:rsidRDefault="007A6110">
      <w:pPr>
        <w:pStyle w:val="ConsPlusNormal"/>
        <w:jc w:val="both"/>
      </w:pPr>
    </w:p>
    <w:p w:rsidR="007A6110" w:rsidRDefault="007A6110">
      <w:pPr>
        <w:pStyle w:val="ConsPlusTitle"/>
        <w:jc w:val="center"/>
        <w:outlineLvl w:val="1"/>
      </w:pPr>
      <w:r>
        <w:t>VII. ТРЕБОВАНИЯ К УСЛОВИЯМ РЕАЛИЗАЦИИ</w:t>
      </w:r>
    </w:p>
    <w:p w:rsidR="007A6110" w:rsidRDefault="007A6110">
      <w:pPr>
        <w:pStyle w:val="ConsPlusTitle"/>
        <w:jc w:val="center"/>
      </w:pPr>
      <w:r>
        <w:t>ПРОГРАММЫ СПЕЦИАЛИТЕТА</w:t>
      </w:r>
    </w:p>
    <w:p w:rsidR="007A6110" w:rsidRDefault="007A6110">
      <w:pPr>
        <w:pStyle w:val="ConsPlusNormal"/>
        <w:jc w:val="both"/>
      </w:pPr>
    </w:p>
    <w:p w:rsidR="007A6110" w:rsidRDefault="007A6110">
      <w:pPr>
        <w:pStyle w:val="ConsPlusTitle"/>
        <w:ind w:firstLine="540"/>
        <w:jc w:val="both"/>
        <w:outlineLvl w:val="2"/>
      </w:pPr>
      <w:r>
        <w:t>7.1. Общесистемные требования к реализации программы специалитета.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7.1.1. Организация должна располагать материально-технической базой, соответствующей действующим противопожарным правилам и нормам и обеспечивающей проведение всех видов дисциплинарной и междисциплинарной подготовки, практической и научно-исследовательской работ обучающихся, предусмотренных учебным планом.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7.1.2. Каждый обучающийся в течение всего периода обучения должен быть обеспечен индивидуальным неограниченным доступом к одной или нескольким электронно-библиотечным системам (электронным библиотекам) и к электронной информационно-образовательной среде организации. Электронно-библиотечная система (электронная библиотека) и электронная информационно-образовательная среда должны обеспечивать возможность доступа обучающегося из любой точки, в которой имеется доступ к информационно-телекоммуникационной сети "Интернет" (далее - сеть </w:t>
      </w:r>
      <w:r>
        <w:lastRenderedPageBreak/>
        <w:t>"Интернет"), как на территории организации, так и вне ее.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доступ к учебным планам, рабочим программам дисциплин (модулей), практик, к изданиям электронных библиотечных систем и электронным образовательным ресурсам, указанным в рабочих программах;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основной образовательной программы;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проведение всех видов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формирование электронного портфолио обучающегося, в том числе сохранение его работ, рецензий и оценок на эти работы со стороны любых участников образовательного процесса;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&lt;1&gt;.</w:t>
      </w:r>
    </w:p>
    <w:p w:rsidR="007A6110" w:rsidRDefault="007A6110">
      <w:pPr>
        <w:pStyle w:val="ConsPlusNormal"/>
        <w:spacing w:before="280"/>
        <w:ind w:firstLine="540"/>
        <w:jc w:val="both"/>
      </w:pPr>
      <w:proofErr w:type="gramStart"/>
      <w:r>
        <w:t>--------------------------------</w:t>
      </w:r>
      <w:proofErr w:type="gramEnd"/>
    </w:p>
    <w:p w:rsidR="007A6110" w:rsidRDefault="007A6110">
      <w:pPr>
        <w:pStyle w:val="ConsPlusNormal"/>
        <w:spacing w:before="280"/>
        <w:ind w:firstLine="540"/>
        <w:jc w:val="both"/>
      </w:pPr>
      <w:proofErr w:type="gramStart"/>
      <w:r>
        <w:t xml:space="preserve">&lt;1&gt; Федеральный </w:t>
      </w:r>
      <w:hyperlink r:id="rId18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N 23, ст. 2870; N 27, ст. 3479; N 52, ст. 6961, ст. 6963; 2014, N 19, ст. 2302; N 30, ст. 4223, ст. 4243, N 48, ст. 6645; 2015, N 1, ст. 84; N 27, ст. 3979; N 29, ст. 4389, ст. 4390; 2016, N 28, ст. 4558), Федеральный </w:t>
      </w:r>
      <w:hyperlink r:id="rId19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 2010, N 27, ст. 3407; N 31, ст. 4173, ст. 4196; N 49, ст. 6409; </w:t>
      </w:r>
      <w:proofErr w:type="gramStart"/>
      <w:r>
        <w:t>2011, N 23, ст. 3263; N 31, ст. 4701; 2013, N 14, ст. 1651; N 30, ст. 4038; N 51, ст. 6683; 2014, N 23, ст. 2927; N 30, ст. 4217, ст. 4243).</w:t>
      </w:r>
      <w:proofErr w:type="gramEnd"/>
    </w:p>
    <w:p w:rsidR="007A6110" w:rsidRDefault="007A6110">
      <w:pPr>
        <w:pStyle w:val="ConsPlusNormal"/>
        <w:jc w:val="both"/>
      </w:pPr>
    </w:p>
    <w:p w:rsidR="007A6110" w:rsidRDefault="007A6110">
      <w:pPr>
        <w:pStyle w:val="ConsPlusNormal"/>
        <w:ind w:firstLine="540"/>
        <w:jc w:val="both"/>
      </w:pPr>
      <w:r>
        <w:lastRenderedPageBreak/>
        <w:t>7.1.3. В случае реализации программы специалитета в сетевой форме требования к реализации программы специалитета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специалитета в сетевой форме.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7.1.4. В случае реализации программы специалитета на созданных в установленном порядке в иных организациях кафедрах или иных структурных подразделениях организации требования к реализации программы специалитета должны обеспечиваться совокупностью ресурсов указанных организаций.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7.1.5. </w:t>
      </w:r>
      <w:proofErr w:type="gramStart"/>
      <w:r>
        <w:t xml:space="preserve">Квалификация руководящих и научно-педагогических работников организации должна соответствовать квалификационным характеристикам, установленным в Едином квалификационном </w:t>
      </w:r>
      <w:hyperlink r:id="rId20" w:history="1">
        <w:r>
          <w:rPr>
            <w:color w:val="0000FF"/>
          </w:rPr>
          <w:t>справочнике</w:t>
        </w:r>
      </w:hyperlink>
      <w:r>
        <w:t xml:space="preserve"> должностей руководителей, специалистов и служащих, разделе "Квалификационные характеристики должностей руководителей и специалистов высшего профессионального и дополнительного профессионального образования", утвержденном приказом Министерства здравоохранения и социального развития Российской Федерации от 11 января 2011 г. N 1н (зарегистрирован Министерством юстиции Российской Федерации 23 марта 2011 г., регистрационный N</w:t>
      </w:r>
      <w:proofErr w:type="gramEnd"/>
      <w:r>
        <w:t xml:space="preserve"> 20237), и профессиональным стандартам (при наличии).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В федеральных государственных организациях, находящихся в ведении федеральных государственных органов, осуществляющих подготовку кадров в интересах обороны и безопасности государства, обеспечения законности и правопорядка, квалификационные характеристики должностей руководителей и научно-педагогических работников высшего образования и дополнительного профессионального образования определяются в соответствии с законодательством Российской Федерации.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Абзац утратил силу. - </w:t>
      </w:r>
      <w:hyperlink r:id="rId21" w:history="1">
        <w:r>
          <w:rPr>
            <w:color w:val="0000FF"/>
          </w:rPr>
          <w:t>Приказ</w:t>
        </w:r>
      </w:hyperlink>
      <w:r>
        <w:t xml:space="preserve"> Минобрнауки России от 13.07.2017 N 653.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7.1.6. Доля штатных научно-педагогических работников (в приведенных к целочисленным значениям ставок) должна составлять не менее 50 процентов от общего количества научно-педагогических работников организации.</w:t>
      </w:r>
    </w:p>
    <w:p w:rsidR="007A6110" w:rsidRDefault="007A6110">
      <w:pPr>
        <w:pStyle w:val="ConsPlusNormal"/>
        <w:jc w:val="both"/>
      </w:pPr>
    </w:p>
    <w:p w:rsidR="007A6110" w:rsidRDefault="007A6110">
      <w:pPr>
        <w:pStyle w:val="ConsPlusTitle"/>
        <w:ind w:firstLine="540"/>
        <w:jc w:val="both"/>
        <w:outlineLvl w:val="2"/>
      </w:pPr>
      <w:r>
        <w:t>7.2. Требования к кадровым условиям реализации программы специалитета.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7.2.1. Реализация программы специалитета обеспечивается руководящими и научно-педагогическими работниками организации, а также лицами, привлекаемыми к реализации программы специалитета на условиях гражданско-правового договора.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lastRenderedPageBreak/>
        <w:t xml:space="preserve">7.2.2. </w:t>
      </w:r>
      <w:proofErr w:type="gramStart"/>
      <w:r>
        <w:t>Доля научно-педагогических работников (в приведенных к целочисленным значениям ставок), имеющих образование, соответствующее профилю преподаваемой дисциплины (модуля), в общем числе научно-педагогических работников, реализующих программу специалитета, должна составлять не менее 65 процентов.</w:t>
      </w:r>
      <w:proofErr w:type="gramEnd"/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7.2.3. </w:t>
      </w:r>
      <w:proofErr w:type="gramStart"/>
      <w:r>
        <w:t>Доля научно-педагогических работников (в приведенных к целочисленным значениям ставок), имеющих ученую степень (в том числе ученую степень, присвоенную за рубежом и признаваемую в Российской Федерации) и (или) ученое звание (в том числе ученое звание, полученное за рубежом и признаваемое в Российской Федерации), в общем числе научно-педагогических работников, реализующих программу специалитета, должна быть не менее 55 процентов.</w:t>
      </w:r>
      <w:proofErr w:type="gramEnd"/>
    </w:p>
    <w:p w:rsidR="007A6110" w:rsidRDefault="007A6110">
      <w:pPr>
        <w:pStyle w:val="ConsPlusNormal"/>
        <w:spacing w:before="280"/>
        <w:ind w:firstLine="540"/>
        <w:jc w:val="both"/>
      </w:pPr>
      <w:proofErr w:type="gramStart"/>
      <w:r>
        <w:t>В федеральных государственных организациях, находящихся в ведении федеральных государственных органов, осуществляющих подготовку кадров в интересах обороны и безопасности государства, обеспечения законности и правопорядка, к научно-педагогическим работникам с учеными степенями и (или) учеными званиями приравниваются преподаватели военно-профессиональных и специально-профессиональных дисциплин (модулей) без ученых степеней и (или) ученых званий, имеющие профильное высшее образование, опыт военной службы (службы в правоохранительных органах) в области</w:t>
      </w:r>
      <w:proofErr w:type="gramEnd"/>
      <w:r>
        <w:t xml:space="preserve"> и с объектами профессиональной деятельности, соответствующими программе специалитета, не менее 10 лет, воинское (специальное) звание не ниже "майор" ("капитан 3 ранга"), а также имеющие боевой опыт, или государственные награды, или государственные (отраслевые) почетные звания, или государственные премии.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В числе научно-педагогических работников с ученой степенью доктора наук и (или) ученым званием профессора могут учитываться преподаватели военно-профессиональных дисциплин (модулей), специально-профессиональных дисциплин (модулей) с ученой степенью кандидата наук, имеющие или государственные награды, или государственные (отраслевые) почетные звания, или государственные премии.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7.2.4. </w:t>
      </w:r>
      <w:proofErr w:type="gramStart"/>
      <w:r>
        <w:t>Доля работников (в приведенных к целочисленным значениям ставок) из числа руководителей и работников организаций, деятельность которых связана с направленностью (профилем) реализуемой программы специалитета (имеющих стаж работы в данной профессиональной области не менее 3 лет) в общем числе работников, реализующих программу специалитета, должна быть не менее 10 процентов.</w:t>
      </w:r>
      <w:proofErr w:type="gramEnd"/>
    </w:p>
    <w:p w:rsidR="007A6110" w:rsidRDefault="007A6110">
      <w:pPr>
        <w:pStyle w:val="ConsPlusNormal"/>
        <w:jc w:val="both"/>
      </w:pPr>
    </w:p>
    <w:p w:rsidR="007A6110" w:rsidRDefault="007A6110">
      <w:pPr>
        <w:pStyle w:val="ConsPlusTitle"/>
        <w:ind w:firstLine="540"/>
        <w:jc w:val="both"/>
        <w:outlineLvl w:val="2"/>
      </w:pPr>
      <w:r>
        <w:t>7.3. Требования к материально-техническому и учебно-методическому обеспечению программы специалитета.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lastRenderedPageBreak/>
        <w:t>7.3.1. Специальные помещения должны представлять собой учебные аудитории для проведения занятий лекционного типа,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аттестации, а также помещения для самостоятельной работы и помещения для хранения и профилактического обслуживания учебного оборудования. Специальные помещения должны быть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Для проведения занятий лекционного типа предлагаются наборы демонстрационного оборудования и учебно-наглядных пособий, обеспечивающие тематические иллюстрации, соответствующие примерным программам дисциплин (модулей), рабочим учебным программам дисциплин (модулей).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Перечень материально-технического обеспечения, необходимого для реализации программы специалитета, включает в себя лаборатории, оснащенные лабораторным оборудованием, в зависимости от степени его сложности. Конкретные требования к материально-техническому и учебно-методическому обеспечению определяются в примерных основных образовательных программах.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В случае применения электронного обучения, дистанционных образовательных технологий допускается замена специально оборудованных помещений их виртуальными аналогами, позволяющими </w:t>
      </w:r>
      <w:proofErr w:type="gramStart"/>
      <w:r>
        <w:t>обучающимся</w:t>
      </w:r>
      <w:proofErr w:type="gramEnd"/>
      <w:r>
        <w:t xml:space="preserve"> осваивать умения и навыки, предусмотренные профессиональной деятельностью.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В случае неиспользования в организации электронно-библиотечной системы (электронной библиотеки) библиотечный фонд должен быть укомплектован печатными изданиями из расчета не менее 50 экземпляров каждого из изданий основной литературы, перечисленной в рабочих программах дисциплин (модулей), практик, и не менее 25 экземпляров дополнительной литературы на 100 обучающихся.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7.3.2. Организация должна быть обеспечена необходимым комплектом лицензионного программного обеспечения (состав определяется в рабочих программах дисциплин (модулей) и подлежит ежегодному обновлению).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7.3.3. Электронно-библиотечные системы (электронная библиотека) и </w:t>
      </w:r>
      <w:r>
        <w:lastRenderedPageBreak/>
        <w:t>электронная информационно-образовательная среда должны обеспечивать одновременный доступ не менее 25 процентов обучающихся по программе специалитета.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7.3.4.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ежегодному обновлению.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7.3.5. Обучающиеся из числа лиц с ограниченными возможностями здоровья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7A6110" w:rsidRDefault="007A6110">
      <w:pPr>
        <w:pStyle w:val="ConsPlusNormal"/>
        <w:jc w:val="both"/>
      </w:pPr>
    </w:p>
    <w:p w:rsidR="007A6110" w:rsidRDefault="007A6110">
      <w:pPr>
        <w:pStyle w:val="ConsPlusTitle"/>
        <w:ind w:firstLine="540"/>
        <w:jc w:val="both"/>
        <w:outlineLvl w:val="2"/>
      </w:pPr>
      <w:r>
        <w:t>7.4. Требования к финансовым условиям реализации программы специалитета.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 xml:space="preserve">7.4.1. </w:t>
      </w:r>
      <w:proofErr w:type="gramStart"/>
      <w:r>
        <w:t xml:space="preserve">Финансовое обеспечение реализации программы специалитета должно осуществляться в объеме не ниже установленных Министерством образования и науки Российской Федерации базовых нормативных затрат на оказание государственной услуги в сфере образования для данного уровня образования и направления подготовки с учетом корректирующих коэффициентов, учитывающих специфику образовательных программ в соответствии с </w:t>
      </w:r>
      <w:hyperlink r:id="rId22" w:history="1">
        <w:r>
          <w:rPr>
            <w:color w:val="0000FF"/>
          </w:rPr>
          <w:t>Методикой</w:t>
        </w:r>
      </w:hyperlink>
      <w:r>
        <w:t xml:space="preserve"> определения нормативных затрат на оказание государственных услуг по реализации образовательных программ высшего образования</w:t>
      </w:r>
      <w:proofErr w:type="gramEnd"/>
      <w:r>
        <w:t xml:space="preserve"> по специальностям (направлениям подготовки) и укрупненным группам специальностей (направлений подготовки), утвержденной приказом Министерства образования и науки Российской Федерации от 30 октября 2015 г. N 1272 (зарегистрирован Министерством юстиции Российской Федерации 30 ноября 2015 г., регистрационный N 39898).</w:t>
      </w:r>
    </w:p>
    <w:p w:rsidR="007A6110" w:rsidRDefault="007A6110">
      <w:pPr>
        <w:pStyle w:val="ConsPlusNormal"/>
        <w:spacing w:before="280"/>
        <w:ind w:firstLine="540"/>
        <w:jc w:val="both"/>
      </w:pPr>
      <w:r>
        <w:t>7.4.2. В организации, в которой законодательством Российской Федерации предусмотрена военная или иная приравненная к ней служба, служба в правоохранительных органах, финансовое обеспечение реализации программы специалитета должно осуществляться в пределах бюджетных ассигнований федерального бюджета, выделяемых федеральным органом исполнительной власти.</w:t>
      </w:r>
    </w:p>
    <w:p w:rsidR="007A6110" w:rsidRDefault="007A6110">
      <w:pPr>
        <w:pStyle w:val="ConsPlusNormal"/>
        <w:jc w:val="both"/>
      </w:pPr>
    </w:p>
    <w:p w:rsidR="007A6110" w:rsidRDefault="007A6110">
      <w:pPr>
        <w:pStyle w:val="ConsPlusNormal"/>
        <w:jc w:val="both"/>
      </w:pPr>
    </w:p>
    <w:p w:rsidR="007A6110" w:rsidRDefault="007A611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E30A6" w:rsidRDefault="007E30A6">
      <w:bookmarkStart w:id="7" w:name="_GoBack"/>
      <w:bookmarkEnd w:id="7"/>
    </w:p>
    <w:sectPr w:rsidR="007E30A6" w:rsidSect="00E47546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5324" w:allStyles="0" w:customStyles="0" w:latentStyles="1" w:stylesInUse="0" w:headingStyles="1" w:numberingStyles="0" w:tableStyles="0" w:directFormattingOnRuns="1" w:directFormattingOnParagraphs="1" w:directFormattingOnNumbering="0" w:directFormattingOnTables="0" w:clearFormatting="1" w:top3HeadingStyles="0" w:visibleStyles="1" w:alternateStyleNames="0"/>
  <w:stylePaneSortMethod w:val="000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110"/>
    <w:rsid w:val="000A08D0"/>
    <w:rsid w:val="00751363"/>
    <w:rsid w:val="007A6110"/>
    <w:rsid w:val="007E30A6"/>
    <w:rsid w:val="00931C21"/>
    <w:rsid w:val="00B13C54"/>
    <w:rsid w:val="00BD7A1F"/>
    <w:rsid w:val="00C9306F"/>
    <w:rsid w:val="00F9339A"/>
    <w:rsid w:val="00FE2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363"/>
    <w:pPr>
      <w:widowControl w:val="0"/>
      <w:suppressAutoHyphens/>
      <w:autoSpaceDE w:val="0"/>
      <w:autoSpaceDN w:val="0"/>
      <w:adjustRightInd w:val="0"/>
      <w:ind w:firstLine="709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751363"/>
    <w:pPr>
      <w:keepNext/>
      <w:widowControl/>
      <w:autoSpaceDE/>
      <w:autoSpaceDN/>
      <w:adjustRightInd/>
      <w:jc w:val="center"/>
      <w:outlineLvl w:val="0"/>
    </w:pPr>
    <w:rPr>
      <w:b/>
      <w:bCs/>
      <w:color w:val="000000"/>
      <w:kern w:val="32"/>
      <w:szCs w:val="32"/>
    </w:rPr>
  </w:style>
  <w:style w:type="paragraph" w:styleId="2">
    <w:name w:val="heading 2"/>
    <w:basedOn w:val="a"/>
    <w:next w:val="a"/>
    <w:link w:val="20"/>
    <w:qFormat/>
    <w:rsid w:val="00751363"/>
    <w:pPr>
      <w:keepNext/>
      <w:widowControl/>
      <w:autoSpaceDE/>
      <w:autoSpaceDN/>
      <w:adjustRightInd/>
      <w:jc w:val="center"/>
      <w:outlineLvl w:val="1"/>
    </w:pPr>
    <w:rPr>
      <w:rFonts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qFormat/>
    <w:rsid w:val="00751363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rsid w:val="00751363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qFormat/>
    <w:rsid w:val="00751363"/>
    <w:pPr>
      <w:widowControl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1">
    <w:name w:val="Цветной список - Акцент 11"/>
    <w:basedOn w:val="a"/>
    <w:uiPriority w:val="34"/>
    <w:qFormat/>
    <w:rsid w:val="00751363"/>
    <w:pPr>
      <w:widowControl/>
      <w:autoSpaceDE/>
      <w:autoSpaceDN/>
      <w:adjustRightInd/>
      <w:ind w:left="720"/>
      <w:contextualSpacing/>
    </w:pPr>
    <w:rPr>
      <w:rFonts w:ascii="Cambria" w:eastAsia="MS Mincho" w:hAnsi="Cambria"/>
      <w:sz w:val="24"/>
      <w:szCs w:val="24"/>
    </w:rPr>
  </w:style>
  <w:style w:type="paragraph" w:customStyle="1" w:styleId="a3">
    <w:name w:val="Листинг"/>
    <w:basedOn w:val="a"/>
    <w:qFormat/>
    <w:rsid w:val="00751363"/>
    <w:pPr>
      <w:widowControl/>
      <w:autoSpaceDE/>
      <w:autoSpaceDN/>
      <w:adjustRightInd/>
      <w:contextualSpacing/>
    </w:pPr>
    <w:rPr>
      <w:rFonts w:ascii="Courier" w:eastAsia="Calibri" w:hAnsi="Courier"/>
      <w:sz w:val="24"/>
      <w:szCs w:val="24"/>
      <w:lang w:val="en-US"/>
    </w:rPr>
  </w:style>
  <w:style w:type="paragraph" w:customStyle="1" w:styleId="a4">
    <w:name w:val="Заглавие"/>
    <w:basedOn w:val="a"/>
    <w:qFormat/>
    <w:rsid w:val="00751363"/>
    <w:pPr>
      <w:widowControl/>
      <w:autoSpaceDE/>
      <w:autoSpaceDN/>
      <w:adjustRightInd/>
      <w:contextualSpacing/>
    </w:pPr>
    <w:rPr>
      <w:rFonts w:eastAsia="Calibri"/>
      <w:b/>
      <w:sz w:val="32"/>
      <w:szCs w:val="32"/>
    </w:rPr>
  </w:style>
  <w:style w:type="character" w:customStyle="1" w:styleId="10">
    <w:name w:val="Заголовок 1 Знак"/>
    <w:link w:val="1"/>
    <w:uiPriority w:val="9"/>
    <w:rsid w:val="00751363"/>
    <w:rPr>
      <w:b/>
      <w:bCs/>
      <w:color w:val="000000"/>
      <w:kern w:val="32"/>
      <w:sz w:val="28"/>
      <w:szCs w:val="32"/>
    </w:rPr>
  </w:style>
  <w:style w:type="character" w:customStyle="1" w:styleId="20">
    <w:name w:val="Заголовок 2 Знак"/>
    <w:link w:val="2"/>
    <w:rsid w:val="00751363"/>
    <w:rPr>
      <w:rFonts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751363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751363"/>
    <w:rPr>
      <w:b/>
      <w:bCs/>
      <w:color w:val="000000"/>
      <w:sz w:val="24"/>
      <w:szCs w:val="24"/>
    </w:rPr>
  </w:style>
  <w:style w:type="character" w:customStyle="1" w:styleId="50">
    <w:name w:val="Заголовок 5 Знак"/>
    <w:link w:val="5"/>
    <w:rsid w:val="00751363"/>
    <w:rPr>
      <w:b/>
      <w:bCs/>
      <w:i/>
      <w:iCs/>
      <w:sz w:val="26"/>
      <w:szCs w:val="26"/>
    </w:rPr>
  </w:style>
  <w:style w:type="paragraph" w:styleId="a5">
    <w:name w:val="caption"/>
    <w:basedOn w:val="a"/>
    <w:qFormat/>
    <w:rsid w:val="00751363"/>
    <w:pPr>
      <w:spacing w:before="120" w:after="120"/>
    </w:pPr>
    <w:rPr>
      <w:rFonts w:eastAsia="Arial Unicode MS" w:cs="Tahoma"/>
      <w:i/>
      <w:iCs/>
      <w:sz w:val="24"/>
      <w:szCs w:val="24"/>
    </w:rPr>
  </w:style>
  <w:style w:type="paragraph" w:styleId="a6">
    <w:name w:val="Title"/>
    <w:basedOn w:val="a"/>
    <w:next w:val="a7"/>
    <w:link w:val="a8"/>
    <w:qFormat/>
    <w:rsid w:val="00751363"/>
    <w:pPr>
      <w:keepNext/>
      <w:spacing w:before="240" w:after="120"/>
    </w:pPr>
    <w:rPr>
      <w:rFonts w:ascii="Arial" w:eastAsia="MS Mincho" w:hAnsi="Arial" w:cs="Arial"/>
      <w:szCs w:val="28"/>
    </w:rPr>
  </w:style>
  <w:style w:type="character" w:customStyle="1" w:styleId="a8">
    <w:name w:val="Название Знак"/>
    <w:link w:val="a6"/>
    <w:rsid w:val="00751363"/>
    <w:rPr>
      <w:rFonts w:ascii="Arial" w:eastAsia="MS Mincho" w:hAnsi="Arial" w:cs="Arial"/>
      <w:sz w:val="28"/>
      <w:szCs w:val="28"/>
    </w:rPr>
  </w:style>
  <w:style w:type="paragraph" w:styleId="a7">
    <w:name w:val="Body Text"/>
    <w:basedOn w:val="a"/>
    <w:link w:val="a9"/>
    <w:uiPriority w:val="99"/>
    <w:semiHidden/>
    <w:unhideWhenUsed/>
    <w:rsid w:val="00751363"/>
    <w:pPr>
      <w:spacing w:after="120"/>
    </w:pPr>
  </w:style>
  <w:style w:type="character" w:customStyle="1" w:styleId="a9">
    <w:name w:val="Основной текст Знак"/>
    <w:basedOn w:val="a0"/>
    <w:link w:val="a7"/>
    <w:uiPriority w:val="99"/>
    <w:semiHidden/>
    <w:rsid w:val="00751363"/>
    <w:rPr>
      <w:sz w:val="28"/>
    </w:rPr>
  </w:style>
  <w:style w:type="paragraph" w:styleId="aa">
    <w:name w:val="Subtitle"/>
    <w:basedOn w:val="a"/>
    <w:next w:val="a7"/>
    <w:link w:val="ab"/>
    <w:qFormat/>
    <w:rsid w:val="00751363"/>
    <w:pPr>
      <w:keepNext/>
      <w:spacing w:before="240" w:after="120"/>
      <w:jc w:val="center"/>
    </w:pPr>
    <w:rPr>
      <w:rFonts w:ascii="Arial" w:eastAsia="MS Mincho" w:hAnsi="Arial" w:cs="Arial"/>
      <w:i/>
      <w:iCs/>
      <w:szCs w:val="28"/>
    </w:rPr>
  </w:style>
  <w:style w:type="character" w:customStyle="1" w:styleId="ab">
    <w:name w:val="Подзаголовок Знак"/>
    <w:link w:val="aa"/>
    <w:rsid w:val="00751363"/>
    <w:rPr>
      <w:rFonts w:ascii="Arial" w:eastAsia="MS Mincho" w:hAnsi="Arial" w:cs="Arial"/>
      <w:i/>
      <w:iCs/>
      <w:sz w:val="28"/>
      <w:szCs w:val="28"/>
    </w:rPr>
  </w:style>
  <w:style w:type="character" w:styleId="ac">
    <w:name w:val="Strong"/>
    <w:uiPriority w:val="22"/>
    <w:qFormat/>
    <w:rsid w:val="00751363"/>
    <w:rPr>
      <w:rFonts w:cs="Times New Roman"/>
      <w:b/>
      <w:bCs/>
    </w:rPr>
  </w:style>
  <w:style w:type="character" w:styleId="ad">
    <w:name w:val="Emphasis"/>
    <w:uiPriority w:val="20"/>
    <w:qFormat/>
    <w:rsid w:val="00751363"/>
    <w:rPr>
      <w:i/>
      <w:iCs/>
    </w:rPr>
  </w:style>
  <w:style w:type="paragraph" w:styleId="ae">
    <w:name w:val="No Spacing"/>
    <w:qFormat/>
    <w:rsid w:val="00751363"/>
    <w:rPr>
      <w:rFonts w:ascii="Calibri" w:eastAsia="Calibri" w:hAnsi="Calibri"/>
      <w:sz w:val="22"/>
      <w:szCs w:val="22"/>
    </w:rPr>
  </w:style>
  <w:style w:type="paragraph" w:styleId="af">
    <w:name w:val="List Paragraph"/>
    <w:basedOn w:val="a"/>
    <w:uiPriority w:val="34"/>
    <w:qFormat/>
    <w:rsid w:val="00751363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7A6110"/>
    <w:pPr>
      <w:widowControl w:val="0"/>
      <w:autoSpaceDE w:val="0"/>
      <w:autoSpaceDN w:val="0"/>
    </w:pPr>
    <w:rPr>
      <w:sz w:val="28"/>
      <w:lang w:eastAsia="ru-RU"/>
    </w:rPr>
  </w:style>
  <w:style w:type="paragraph" w:customStyle="1" w:styleId="ConsPlusTitle">
    <w:name w:val="ConsPlusTitle"/>
    <w:rsid w:val="007A6110"/>
    <w:pPr>
      <w:widowControl w:val="0"/>
      <w:autoSpaceDE w:val="0"/>
      <w:autoSpaceDN w:val="0"/>
    </w:pPr>
    <w:rPr>
      <w:b/>
      <w:sz w:val="28"/>
      <w:lang w:eastAsia="ru-RU"/>
    </w:rPr>
  </w:style>
  <w:style w:type="paragraph" w:customStyle="1" w:styleId="ConsPlusTitlePage">
    <w:name w:val="ConsPlusTitlePage"/>
    <w:rsid w:val="007A6110"/>
    <w:pPr>
      <w:widowControl w:val="0"/>
      <w:autoSpaceDE w:val="0"/>
      <w:autoSpaceDN w:val="0"/>
    </w:pPr>
    <w:rPr>
      <w:rFonts w:ascii="Tahoma" w:hAnsi="Tahoma" w:cs="Tahom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363"/>
    <w:pPr>
      <w:widowControl w:val="0"/>
      <w:suppressAutoHyphens/>
      <w:autoSpaceDE w:val="0"/>
      <w:autoSpaceDN w:val="0"/>
      <w:adjustRightInd w:val="0"/>
      <w:ind w:firstLine="709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751363"/>
    <w:pPr>
      <w:keepNext/>
      <w:widowControl/>
      <w:autoSpaceDE/>
      <w:autoSpaceDN/>
      <w:adjustRightInd/>
      <w:jc w:val="center"/>
      <w:outlineLvl w:val="0"/>
    </w:pPr>
    <w:rPr>
      <w:b/>
      <w:bCs/>
      <w:color w:val="000000"/>
      <w:kern w:val="32"/>
      <w:szCs w:val="32"/>
    </w:rPr>
  </w:style>
  <w:style w:type="paragraph" w:styleId="2">
    <w:name w:val="heading 2"/>
    <w:basedOn w:val="a"/>
    <w:next w:val="a"/>
    <w:link w:val="20"/>
    <w:qFormat/>
    <w:rsid w:val="00751363"/>
    <w:pPr>
      <w:keepNext/>
      <w:widowControl/>
      <w:autoSpaceDE/>
      <w:autoSpaceDN/>
      <w:adjustRightInd/>
      <w:jc w:val="center"/>
      <w:outlineLvl w:val="1"/>
    </w:pPr>
    <w:rPr>
      <w:rFonts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qFormat/>
    <w:rsid w:val="00751363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rsid w:val="00751363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qFormat/>
    <w:rsid w:val="00751363"/>
    <w:pPr>
      <w:widowControl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1">
    <w:name w:val="Цветной список - Акцент 11"/>
    <w:basedOn w:val="a"/>
    <w:uiPriority w:val="34"/>
    <w:qFormat/>
    <w:rsid w:val="00751363"/>
    <w:pPr>
      <w:widowControl/>
      <w:autoSpaceDE/>
      <w:autoSpaceDN/>
      <w:adjustRightInd/>
      <w:ind w:left="720"/>
      <w:contextualSpacing/>
    </w:pPr>
    <w:rPr>
      <w:rFonts w:ascii="Cambria" w:eastAsia="MS Mincho" w:hAnsi="Cambria"/>
      <w:sz w:val="24"/>
      <w:szCs w:val="24"/>
    </w:rPr>
  </w:style>
  <w:style w:type="paragraph" w:customStyle="1" w:styleId="a3">
    <w:name w:val="Листинг"/>
    <w:basedOn w:val="a"/>
    <w:qFormat/>
    <w:rsid w:val="00751363"/>
    <w:pPr>
      <w:widowControl/>
      <w:autoSpaceDE/>
      <w:autoSpaceDN/>
      <w:adjustRightInd/>
      <w:contextualSpacing/>
    </w:pPr>
    <w:rPr>
      <w:rFonts w:ascii="Courier" w:eastAsia="Calibri" w:hAnsi="Courier"/>
      <w:sz w:val="24"/>
      <w:szCs w:val="24"/>
      <w:lang w:val="en-US"/>
    </w:rPr>
  </w:style>
  <w:style w:type="paragraph" w:customStyle="1" w:styleId="a4">
    <w:name w:val="Заглавие"/>
    <w:basedOn w:val="a"/>
    <w:qFormat/>
    <w:rsid w:val="00751363"/>
    <w:pPr>
      <w:widowControl/>
      <w:autoSpaceDE/>
      <w:autoSpaceDN/>
      <w:adjustRightInd/>
      <w:contextualSpacing/>
    </w:pPr>
    <w:rPr>
      <w:rFonts w:eastAsia="Calibri"/>
      <w:b/>
      <w:sz w:val="32"/>
      <w:szCs w:val="32"/>
    </w:rPr>
  </w:style>
  <w:style w:type="character" w:customStyle="1" w:styleId="10">
    <w:name w:val="Заголовок 1 Знак"/>
    <w:link w:val="1"/>
    <w:uiPriority w:val="9"/>
    <w:rsid w:val="00751363"/>
    <w:rPr>
      <w:b/>
      <w:bCs/>
      <w:color w:val="000000"/>
      <w:kern w:val="32"/>
      <w:sz w:val="28"/>
      <w:szCs w:val="32"/>
    </w:rPr>
  </w:style>
  <w:style w:type="character" w:customStyle="1" w:styleId="20">
    <w:name w:val="Заголовок 2 Знак"/>
    <w:link w:val="2"/>
    <w:rsid w:val="00751363"/>
    <w:rPr>
      <w:rFonts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751363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751363"/>
    <w:rPr>
      <w:b/>
      <w:bCs/>
      <w:color w:val="000000"/>
      <w:sz w:val="24"/>
      <w:szCs w:val="24"/>
    </w:rPr>
  </w:style>
  <w:style w:type="character" w:customStyle="1" w:styleId="50">
    <w:name w:val="Заголовок 5 Знак"/>
    <w:link w:val="5"/>
    <w:rsid w:val="00751363"/>
    <w:rPr>
      <w:b/>
      <w:bCs/>
      <w:i/>
      <w:iCs/>
      <w:sz w:val="26"/>
      <w:szCs w:val="26"/>
    </w:rPr>
  </w:style>
  <w:style w:type="paragraph" w:styleId="a5">
    <w:name w:val="caption"/>
    <w:basedOn w:val="a"/>
    <w:qFormat/>
    <w:rsid w:val="00751363"/>
    <w:pPr>
      <w:spacing w:before="120" w:after="120"/>
    </w:pPr>
    <w:rPr>
      <w:rFonts w:eastAsia="Arial Unicode MS" w:cs="Tahoma"/>
      <w:i/>
      <w:iCs/>
      <w:sz w:val="24"/>
      <w:szCs w:val="24"/>
    </w:rPr>
  </w:style>
  <w:style w:type="paragraph" w:styleId="a6">
    <w:name w:val="Title"/>
    <w:basedOn w:val="a"/>
    <w:next w:val="a7"/>
    <w:link w:val="a8"/>
    <w:qFormat/>
    <w:rsid w:val="00751363"/>
    <w:pPr>
      <w:keepNext/>
      <w:spacing w:before="240" w:after="120"/>
    </w:pPr>
    <w:rPr>
      <w:rFonts w:ascii="Arial" w:eastAsia="MS Mincho" w:hAnsi="Arial" w:cs="Arial"/>
      <w:szCs w:val="28"/>
    </w:rPr>
  </w:style>
  <w:style w:type="character" w:customStyle="1" w:styleId="a8">
    <w:name w:val="Название Знак"/>
    <w:link w:val="a6"/>
    <w:rsid w:val="00751363"/>
    <w:rPr>
      <w:rFonts w:ascii="Arial" w:eastAsia="MS Mincho" w:hAnsi="Arial" w:cs="Arial"/>
      <w:sz w:val="28"/>
      <w:szCs w:val="28"/>
    </w:rPr>
  </w:style>
  <w:style w:type="paragraph" w:styleId="a7">
    <w:name w:val="Body Text"/>
    <w:basedOn w:val="a"/>
    <w:link w:val="a9"/>
    <w:uiPriority w:val="99"/>
    <w:semiHidden/>
    <w:unhideWhenUsed/>
    <w:rsid w:val="00751363"/>
    <w:pPr>
      <w:spacing w:after="120"/>
    </w:pPr>
  </w:style>
  <w:style w:type="character" w:customStyle="1" w:styleId="a9">
    <w:name w:val="Основной текст Знак"/>
    <w:basedOn w:val="a0"/>
    <w:link w:val="a7"/>
    <w:uiPriority w:val="99"/>
    <w:semiHidden/>
    <w:rsid w:val="00751363"/>
    <w:rPr>
      <w:sz w:val="28"/>
    </w:rPr>
  </w:style>
  <w:style w:type="paragraph" w:styleId="aa">
    <w:name w:val="Subtitle"/>
    <w:basedOn w:val="a"/>
    <w:next w:val="a7"/>
    <w:link w:val="ab"/>
    <w:qFormat/>
    <w:rsid w:val="00751363"/>
    <w:pPr>
      <w:keepNext/>
      <w:spacing w:before="240" w:after="120"/>
      <w:jc w:val="center"/>
    </w:pPr>
    <w:rPr>
      <w:rFonts w:ascii="Arial" w:eastAsia="MS Mincho" w:hAnsi="Arial" w:cs="Arial"/>
      <w:i/>
      <w:iCs/>
      <w:szCs w:val="28"/>
    </w:rPr>
  </w:style>
  <w:style w:type="character" w:customStyle="1" w:styleId="ab">
    <w:name w:val="Подзаголовок Знак"/>
    <w:link w:val="aa"/>
    <w:rsid w:val="00751363"/>
    <w:rPr>
      <w:rFonts w:ascii="Arial" w:eastAsia="MS Mincho" w:hAnsi="Arial" w:cs="Arial"/>
      <w:i/>
      <w:iCs/>
      <w:sz w:val="28"/>
      <w:szCs w:val="28"/>
    </w:rPr>
  </w:style>
  <w:style w:type="character" w:styleId="ac">
    <w:name w:val="Strong"/>
    <w:uiPriority w:val="22"/>
    <w:qFormat/>
    <w:rsid w:val="00751363"/>
    <w:rPr>
      <w:rFonts w:cs="Times New Roman"/>
      <w:b/>
      <w:bCs/>
    </w:rPr>
  </w:style>
  <w:style w:type="character" w:styleId="ad">
    <w:name w:val="Emphasis"/>
    <w:uiPriority w:val="20"/>
    <w:qFormat/>
    <w:rsid w:val="00751363"/>
    <w:rPr>
      <w:i/>
      <w:iCs/>
    </w:rPr>
  </w:style>
  <w:style w:type="paragraph" w:styleId="ae">
    <w:name w:val="No Spacing"/>
    <w:qFormat/>
    <w:rsid w:val="00751363"/>
    <w:rPr>
      <w:rFonts w:ascii="Calibri" w:eastAsia="Calibri" w:hAnsi="Calibri"/>
      <w:sz w:val="22"/>
      <w:szCs w:val="22"/>
    </w:rPr>
  </w:style>
  <w:style w:type="paragraph" w:styleId="af">
    <w:name w:val="List Paragraph"/>
    <w:basedOn w:val="a"/>
    <w:uiPriority w:val="34"/>
    <w:qFormat/>
    <w:rsid w:val="00751363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7A6110"/>
    <w:pPr>
      <w:widowControl w:val="0"/>
      <w:autoSpaceDE w:val="0"/>
      <w:autoSpaceDN w:val="0"/>
    </w:pPr>
    <w:rPr>
      <w:sz w:val="28"/>
      <w:lang w:eastAsia="ru-RU"/>
    </w:rPr>
  </w:style>
  <w:style w:type="paragraph" w:customStyle="1" w:styleId="ConsPlusTitle">
    <w:name w:val="ConsPlusTitle"/>
    <w:rsid w:val="007A6110"/>
    <w:pPr>
      <w:widowControl w:val="0"/>
      <w:autoSpaceDE w:val="0"/>
      <w:autoSpaceDN w:val="0"/>
    </w:pPr>
    <w:rPr>
      <w:b/>
      <w:sz w:val="28"/>
      <w:lang w:eastAsia="ru-RU"/>
    </w:rPr>
  </w:style>
  <w:style w:type="paragraph" w:customStyle="1" w:styleId="ConsPlusTitlePage">
    <w:name w:val="ConsPlusTitlePage"/>
    <w:rsid w:val="007A6110"/>
    <w:pPr>
      <w:widowControl w:val="0"/>
      <w:autoSpaceDE w:val="0"/>
      <w:autoSpaceDN w:val="0"/>
    </w:pPr>
    <w:rPr>
      <w:rFonts w:ascii="Tahoma" w:hAnsi="Tahoma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86BC01E8AB10101AA5EBEE121079E770D7D1B6D7F454DC35391612DBB2D4D69297C395051D1D44n475K" TargetMode="External"/><Relationship Id="rId13" Type="http://schemas.openxmlformats.org/officeDocument/2006/relationships/hyperlink" Target="consultantplus://offline/ref=E586BC01E8AB10101AA5EBEE121079E770D6D4B6D1F554DC35391612DBB2D4D69297C395051C1D46n47EK" TargetMode="External"/><Relationship Id="rId18" Type="http://schemas.openxmlformats.org/officeDocument/2006/relationships/hyperlink" Target="consultantplus://offline/ref=E586BC01E8AB10101AA5EBEE121079E770D6D0B5D3F954DC35391612DBnB72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586BC01E8AB10101AA5EBEE121079E770DDD4B2D5FF54DC35391612DBB2D4D69297C395051D1F45n475K" TargetMode="External"/><Relationship Id="rId7" Type="http://schemas.openxmlformats.org/officeDocument/2006/relationships/hyperlink" Target="consultantplus://offline/ref=E586BC01E8AB10101AA5EBEE121079E770D6D0B6D3FF54DC35391612DBB2D4D69297C395051D1D46n476K" TargetMode="External"/><Relationship Id="rId12" Type="http://schemas.openxmlformats.org/officeDocument/2006/relationships/hyperlink" Target="consultantplus://offline/ref=E586BC01E8AB10101AA5EBEE121079E770DDD4B2D5FF54DC35391612DBB2D4D69297C395051D1F45n475K" TargetMode="External"/><Relationship Id="rId17" Type="http://schemas.openxmlformats.org/officeDocument/2006/relationships/hyperlink" Target="consultantplus://offline/ref=E586BC01E8AB10101AA5EBEE121079E770D6D3B7DEFC54DC35391612DBB2D4D69297C395051C1C48n473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586BC01E8AB10101AA5EBEE121079E770D6D4B6D1F554DC35391612DBB2D4D69297C395051C1D46n470K" TargetMode="External"/><Relationship Id="rId20" Type="http://schemas.openxmlformats.org/officeDocument/2006/relationships/hyperlink" Target="consultantplus://offline/ref=E586BC01E8AB10101AA5EBEE121079E773DED4B4D7FA54DC35391612DBB2D4D69297C395051D1D40n47E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586BC01E8AB10101AA5EBEE121079E770DDD4B2D5FF54DC35391612DBB2D4D69297C395051D1F45n475K" TargetMode="External"/><Relationship Id="rId11" Type="http://schemas.openxmlformats.org/officeDocument/2006/relationships/hyperlink" Target="consultantplus://offline/ref=E586BC01E8AB10101AA5EBEE121079E773D6DFB1D7FD54DC35391612DBB2D4D69297C395051C1440n47FK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E586BC01E8AB10101AA5EBEE121079E770D6D4B6D1F554DC35391612DBnB72K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E586BC01E8AB10101AA5EBEE121079E773D6DFB1D6F454DC35391612DBB2D4D69297C395051D1C48n470K" TargetMode="External"/><Relationship Id="rId19" Type="http://schemas.openxmlformats.org/officeDocument/2006/relationships/hyperlink" Target="consultantplus://offline/ref=E586BC01E8AB10101AA5EBEE121079E770DDD7B4D2F854DC35391612DBnB72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586BC01E8AB10101AA5EBEE121079E773DED2B9D2FB54DC35391612DBnB72K" TargetMode="External"/><Relationship Id="rId14" Type="http://schemas.openxmlformats.org/officeDocument/2006/relationships/hyperlink" Target="consultantplus://offline/ref=E586BC01E8AB10101AA5EBEE121079E770D6D4B6D1F554DC35391612DBB2D4D69297C397n07CK" TargetMode="External"/><Relationship Id="rId22" Type="http://schemas.openxmlformats.org/officeDocument/2006/relationships/hyperlink" Target="consultantplus://offline/ref=E586BC01E8AB10101AA5EBEE121079E773D7DFB9D7F854DC35391612DBB2D4D69297C395051D1D41n47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10940</Words>
  <Characters>62361</Characters>
  <Application>Microsoft Office Word</Application>
  <DocSecurity>0</DocSecurity>
  <Lines>519</Lines>
  <Paragraphs>146</Paragraphs>
  <ScaleCrop>false</ScaleCrop>
  <Company>Home</Company>
  <LinksUpToDate>false</LinksUpToDate>
  <CharactersWithSpaces>73155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2018-06-18T10:59:00Z</dcterms:created>
  <dcterms:modified xsi:type="dcterms:W3CDTF">2018-06-18T11:01:00Z</dcterms:modified>
</cp:coreProperties>
</file>