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6B4130"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565036" w:rsidRDefault="00565036" w:rsidP="00565036">
      <w:pPr>
        <w:pStyle w:val="ReportHead"/>
        <w:suppressAutoHyphens/>
        <w:rPr>
          <w:sz w:val="24"/>
        </w:rPr>
      </w:pPr>
      <w:r>
        <w:rPr>
          <w:sz w:val="24"/>
        </w:rPr>
        <w:t>Группа научных специальностей</w:t>
      </w:r>
    </w:p>
    <w:p w:rsidR="00565036" w:rsidRDefault="00565036" w:rsidP="00565036">
      <w:pPr>
        <w:pStyle w:val="ReportHead"/>
        <w:suppressAutoHyphens/>
        <w:rPr>
          <w:i/>
          <w:sz w:val="24"/>
          <w:u w:val="single"/>
        </w:rPr>
      </w:pPr>
      <w:r>
        <w:rPr>
          <w:i/>
          <w:sz w:val="24"/>
          <w:u w:val="single"/>
        </w:rPr>
        <w:t>1.2. Компьютерные науки и информатика</w:t>
      </w:r>
    </w:p>
    <w:p w:rsidR="00565036" w:rsidRDefault="00565036" w:rsidP="00565036">
      <w:pPr>
        <w:pStyle w:val="ReportHead"/>
        <w:suppressAutoHyphens/>
        <w:rPr>
          <w:sz w:val="24"/>
          <w:vertAlign w:val="superscript"/>
        </w:rPr>
      </w:pPr>
      <w:r>
        <w:rPr>
          <w:sz w:val="24"/>
          <w:vertAlign w:val="superscript"/>
        </w:rPr>
        <w:t>(шифр и наименование группы научных специальностей)</w:t>
      </w:r>
    </w:p>
    <w:p w:rsidR="00565036" w:rsidRDefault="00565036" w:rsidP="00565036">
      <w:pPr>
        <w:pStyle w:val="ReportHead"/>
        <w:suppressAutoHyphens/>
        <w:rPr>
          <w:sz w:val="24"/>
        </w:rPr>
      </w:pPr>
      <w:r>
        <w:rPr>
          <w:sz w:val="24"/>
        </w:rPr>
        <w:t>Научная специальность</w:t>
      </w:r>
    </w:p>
    <w:p w:rsidR="00565036" w:rsidRDefault="00565036" w:rsidP="00565036">
      <w:pPr>
        <w:pStyle w:val="ReportHead"/>
        <w:suppressAutoHyphens/>
        <w:rPr>
          <w:i/>
          <w:sz w:val="24"/>
          <w:u w:val="single"/>
        </w:rPr>
      </w:pPr>
      <w:r>
        <w:rPr>
          <w:i/>
          <w:sz w:val="24"/>
          <w:u w:val="single"/>
        </w:rPr>
        <w:t>1</w:t>
      </w:r>
      <w:r>
        <w:rPr>
          <w:i/>
          <w:color w:val="000000"/>
          <w:sz w:val="24"/>
          <w:u w:val="single"/>
        </w:rPr>
        <w:t>.2.2. Математическое моделирование, численные методы и комплексы программ</w:t>
      </w:r>
    </w:p>
    <w:p w:rsidR="00565036" w:rsidRDefault="00565036" w:rsidP="00565036">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565036" w:rsidRDefault="00565036" w:rsidP="00565036">
      <w:pPr>
        <w:pStyle w:val="ReportHead"/>
        <w:suppressAutoHyphens/>
        <w:rPr>
          <w:sz w:val="24"/>
        </w:rPr>
      </w:pPr>
    </w:p>
    <w:p w:rsidR="00565036" w:rsidRDefault="00565036" w:rsidP="00565036">
      <w:pPr>
        <w:pStyle w:val="ReportHead"/>
        <w:suppressAutoHyphens/>
        <w:spacing w:before="120"/>
        <w:rPr>
          <w:sz w:val="24"/>
        </w:rPr>
      </w:pPr>
      <w:r>
        <w:rPr>
          <w:sz w:val="24"/>
        </w:rPr>
        <w:t>Форма обучения</w:t>
      </w:r>
    </w:p>
    <w:p w:rsidR="00565036" w:rsidRDefault="00565036" w:rsidP="00565036">
      <w:pPr>
        <w:pStyle w:val="ReportHead"/>
        <w:suppressAutoHyphens/>
        <w:rPr>
          <w:i/>
          <w:sz w:val="24"/>
          <w:u w:val="single"/>
        </w:rPr>
      </w:pPr>
      <w:r>
        <w:rPr>
          <w:i/>
          <w:sz w:val="24"/>
          <w:u w:val="single"/>
        </w:rPr>
        <w:t>Очная</w:t>
      </w:r>
    </w:p>
    <w:p w:rsidR="00565036" w:rsidRDefault="00565036" w:rsidP="00565036">
      <w:pPr>
        <w:pStyle w:val="ReportHead"/>
        <w:suppressAutoHyphens/>
        <w:rPr>
          <w:b/>
          <w:sz w:val="24"/>
        </w:rPr>
      </w:pPr>
      <w:bookmarkStart w:id="0" w:name="BookmarkWhereDelChr13"/>
      <w:bookmarkEnd w:id="0"/>
    </w:p>
    <w:p w:rsidR="00971782" w:rsidRDefault="00971782"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r>
        <w:rPr>
          <w:sz w:val="24"/>
        </w:rPr>
        <w:t>Год начала подготовки 202</w:t>
      </w:r>
      <w:r w:rsidR="00A21747">
        <w:rPr>
          <w:sz w:val="24"/>
        </w:rPr>
        <w:t>5</w:t>
      </w:r>
      <w:bookmarkStart w:id="1" w:name="_GoBack"/>
      <w:bookmarkEnd w:id="1"/>
    </w:p>
    <w:p w:rsidR="009B4165" w:rsidRDefault="009B4165" w:rsidP="009B4165">
      <w:pPr>
        <w:sectPr w:rsidR="009B4165" w:rsidSect="009D04CF">
          <w:footerReference w:type="default" r:id="rId6"/>
          <w:pgSz w:w="11906" w:h="16838"/>
          <w:pgMar w:top="567" w:right="567" w:bottom="510" w:left="851" w:header="0" w:footer="510" w:gutter="0"/>
          <w:cols w:space="720"/>
          <w:titlePg/>
          <w:docGrid w:linePitch="272"/>
        </w:sectPr>
      </w:pPr>
    </w:p>
    <w:p w:rsidR="009B4165" w:rsidRDefault="009B4165" w:rsidP="009B4165">
      <w:pPr>
        <w:pStyle w:val="ReportHead"/>
        <w:suppressAutoHyphens/>
        <w:ind w:firstLine="850"/>
        <w:jc w:val="both"/>
        <w:rPr>
          <w:sz w:val="24"/>
        </w:rPr>
      </w:pP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Утверждено на заседании кафедры</w:t>
      </w: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w:t>
      </w:r>
      <w:r w:rsidR="00971782">
        <w:rPr>
          <w:rFonts w:eastAsia="Arial Unicode MS" w:cs="Arial Unicode MS"/>
          <w:color w:val="000000"/>
          <w:sz w:val="24"/>
          <w:szCs w:val="24"/>
          <w:u w:val="single" w:color="000000"/>
          <w:bdr w:val="nil"/>
          <w:lang w:eastAsia="ru-RU"/>
        </w:rPr>
        <w:t xml:space="preserve">В.В. Неволина  </w:t>
      </w:r>
      <w:r w:rsidRPr="00EF1FA1">
        <w:rPr>
          <w:rFonts w:eastAsia="Arial Unicode MS" w:cs="Arial Unicode MS"/>
          <w:color w:val="000000"/>
          <w:sz w:val="24"/>
          <w:szCs w:val="24"/>
          <w:u w:val="single" w:color="000000"/>
          <w:bdr w:val="nil"/>
          <w:lang w:eastAsia="ru-RU"/>
        </w:rPr>
        <w:t xml:space="preserve"> </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D04CF" w:rsidRPr="00EF1FA1" w:rsidRDefault="00971782"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Pr>
          <w:rFonts w:eastAsia="Arial Unicode MS" w:cs="Arial Unicode MS"/>
          <w:color w:val="000000"/>
          <w:sz w:val="24"/>
          <w:szCs w:val="24"/>
          <w:u w:val="single" w:color="000000"/>
          <w:bdr w:val="nil"/>
          <w:lang w:eastAsia="ru-RU"/>
        </w:rPr>
        <w:t xml:space="preserve">        </w:t>
      </w:r>
      <w:r w:rsidR="009D04CF" w:rsidRPr="00EF1FA1">
        <w:rPr>
          <w:rFonts w:eastAsia="Arial Unicode MS" w:cs="Arial Unicode MS"/>
          <w:color w:val="000000"/>
          <w:sz w:val="24"/>
          <w:szCs w:val="24"/>
          <w:u w:val="single" w:color="000000"/>
          <w:bdr w:val="nil"/>
          <w:lang w:eastAsia="ru-RU"/>
        </w:rPr>
        <w:t xml:space="preserve">                                                                                                   </w:t>
      </w:r>
      <w:r w:rsidR="00614260">
        <w:rPr>
          <w:rFonts w:eastAsia="Arial Unicode MS" w:cs="Arial Unicode MS"/>
          <w:color w:val="000000"/>
          <w:sz w:val="24"/>
          <w:szCs w:val="24"/>
          <w:u w:val="single" w:color="000000"/>
          <w:bdr w:val="nil"/>
          <w:lang w:eastAsia="ru-RU"/>
        </w:rPr>
        <w:t>_________________</w:t>
      </w:r>
      <w:r w:rsidR="009D04CF" w:rsidRPr="00EF1FA1">
        <w:rPr>
          <w:rFonts w:eastAsia="Arial Unicode MS" w:cs="Arial Unicode MS"/>
          <w:color w:val="000000"/>
          <w:sz w:val="24"/>
          <w:szCs w:val="24"/>
          <w:u w:val="single" w:color="000000"/>
          <w:bdr w:val="nil"/>
          <w:lang w:eastAsia="ru-RU"/>
        </w:rPr>
        <w:t xml:space="preserve"> </w:t>
      </w:r>
      <w:r w:rsidR="00614260">
        <w:rPr>
          <w:rFonts w:eastAsia="Arial Unicode MS" w:cs="Arial Unicode MS"/>
          <w:color w:val="000000"/>
          <w:sz w:val="24"/>
          <w:szCs w:val="24"/>
          <w:u w:val="single" w:color="000000"/>
          <w:bdr w:val="nil"/>
          <w:lang w:eastAsia="ru-RU"/>
        </w:rPr>
        <w:t>В.В. Неволина</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AF04C9" w:rsidP="009D04CF">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009D04CF" w:rsidRPr="00EF1FA1">
        <w:rPr>
          <w:rFonts w:ascii="Arial Unicode MS" w:eastAsia="Arial Unicode MS" w:hAnsi="Arial Unicode MS" w:cs="Arial Unicode MS"/>
          <w:color w:val="000000"/>
          <w:sz w:val="28"/>
          <w:szCs w:val="28"/>
          <w:u w:color="000000"/>
          <w:bdr w:val="nil"/>
          <w:lang w:eastAsia="ru-RU"/>
        </w:rPr>
        <w:br w:type="page"/>
      </w:r>
    </w:p>
    <w:p w:rsidR="009D04CF" w:rsidRPr="00EF1FA1" w:rsidRDefault="009D04CF" w:rsidP="009D04CF">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p>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roofErr w:type="gramStart"/>
            <w:r w:rsidRPr="00EF1FA1">
              <w:rPr>
                <w:color w:val="000000"/>
                <w:spacing w:val="7"/>
                <w:sz w:val="24"/>
                <w:szCs w:val="24"/>
                <w:u w:color="000000"/>
                <w:lang w:eastAsia="ru-RU"/>
              </w:rPr>
              <w:t>…….</w:t>
            </w:r>
            <w:proofErr w:type="gramEnd"/>
            <w:r w:rsidRPr="00EF1FA1">
              <w:rPr>
                <w:color w:val="000000"/>
                <w:spacing w:val="7"/>
                <w:sz w:val="24"/>
                <w:szCs w:val="24"/>
                <w:u w:color="000000"/>
                <w:lang w:eastAsia="ru-RU"/>
              </w:rPr>
              <w:t>.….</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D04CF" w:rsidRPr="00EF1FA1" w:rsidRDefault="009D04CF"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D04CF" w:rsidRPr="00EF1FA1" w:rsidRDefault="009D04CF" w:rsidP="009D04CF">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D04CF" w:rsidRPr="00EF1FA1" w:rsidRDefault="009D04CF" w:rsidP="009D04CF">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какие механизмы (факторы, причины, </w:t>
      </w:r>
      <w:proofErr w:type="gramStart"/>
      <w:r w:rsidRPr="00EF1FA1">
        <w:rPr>
          <w:rFonts w:eastAsia="Arial Unicode MS"/>
          <w:color w:val="000000"/>
          <w:sz w:val="24"/>
          <w:szCs w:val="24"/>
          <w:u w:color="000000"/>
          <w:bdr w:val="nil"/>
          <w:lang w:eastAsia="ru-RU"/>
        </w:rPr>
        <w:t>методы)…</w:t>
      </w:r>
      <w:proofErr w:type="gramEnd"/>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D04CF" w:rsidRPr="00EF1FA1" w:rsidRDefault="009D04CF" w:rsidP="009D04CF">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w:t>
      </w:r>
      <w:proofErr w:type="spellStart"/>
      <w:r w:rsidRPr="00EF1FA1">
        <w:rPr>
          <w:rFonts w:eastAsia="Arial Unicode MS"/>
          <w:i/>
          <w:iCs/>
          <w:color w:val="000000"/>
          <w:sz w:val="24"/>
          <w:szCs w:val="24"/>
          <w:u w:color="000000"/>
          <w:bdr w:val="nil"/>
          <w:lang w:eastAsia="ru-RU"/>
        </w:rPr>
        <w:t>casestudy</w:t>
      </w:r>
      <w:proofErr w:type="spellEnd"/>
      <w:r w:rsidRPr="00EF1FA1">
        <w:rPr>
          <w:rFonts w:eastAsia="Arial Unicode MS"/>
          <w:i/>
          <w:iCs/>
          <w:color w:val="000000"/>
          <w:sz w:val="24"/>
          <w:szCs w:val="24"/>
          <w:u w:color="000000"/>
          <w:bdr w:val="nil"/>
          <w:lang w:eastAsia="ru-RU"/>
        </w:rPr>
        <w:t>)</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D04CF" w:rsidRPr="00EF1FA1" w:rsidRDefault="009D04CF" w:rsidP="009D04CF">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D04CF"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В каждой смысловой части сформулировать </w:t>
      </w:r>
      <w:proofErr w:type="spellStart"/>
      <w:r w:rsidRPr="00EF1FA1">
        <w:rPr>
          <w:rFonts w:eastAsia="Arial Unicode MS"/>
          <w:color w:val="000000"/>
          <w:sz w:val="24"/>
          <w:szCs w:val="24"/>
          <w:u w:color="000000"/>
          <w:bdr w:val="nil"/>
          <w:lang w:eastAsia="ru-RU"/>
        </w:rPr>
        <w:t>микротему</w:t>
      </w:r>
      <w:proofErr w:type="spellEnd"/>
      <w:r w:rsidRPr="00EF1FA1">
        <w:rPr>
          <w:rFonts w:eastAsia="Arial Unicode MS"/>
          <w:color w:val="000000"/>
          <w:sz w:val="24"/>
          <w:szCs w:val="24"/>
          <w:u w:color="000000"/>
          <w:bdr w:val="nil"/>
          <w:lang w:eastAsia="ru-RU"/>
        </w:rPr>
        <w:t xml:space="preserve"> с опорой на ключевые слова и ключевые фразы.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D04CF">
      <w:pPr>
        <w:pStyle w:val="ReportHead"/>
        <w:suppressAutoHyphens/>
        <w:ind w:firstLine="850"/>
        <w:jc w:val="both"/>
      </w:pPr>
    </w:p>
    <w:sectPr w:rsidR="002D178E" w:rsidRPr="009B4165" w:rsidSect="009D04CF">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4C9" w:rsidRDefault="00AF04C9" w:rsidP="009D04CF">
      <w:r>
        <w:separator/>
      </w:r>
    </w:p>
  </w:endnote>
  <w:endnote w:type="continuationSeparator" w:id="0">
    <w:p w:rsidR="00AF04C9" w:rsidRDefault="00AF04C9" w:rsidP="009D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062560"/>
    </w:sdtPr>
    <w:sdtEndPr/>
    <w:sdtContent>
      <w:p w:rsidR="009D04CF" w:rsidRDefault="008575C3">
        <w:pPr>
          <w:pStyle w:val="a8"/>
          <w:jc w:val="right"/>
        </w:pPr>
        <w:r>
          <w:fldChar w:fldCharType="begin"/>
        </w:r>
        <w:r w:rsidR="009D04CF">
          <w:instrText>PAGE   \* MERGEFORMAT</w:instrText>
        </w:r>
        <w:r>
          <w:fldChar w:fldCharType="separate"/>
        </w:r>
        <w:r w:rsidR="00971782">
          <w:rPr>
            <w:noProof/>
          </w:rPr>
          <w:t>6</w:t>
        </w:r>
        <w:r>
          <w:fldChar w:fldCharType="end"/>
        </w:r>
      </w:p>
    </w:sdtContent>
  </w:sdt>
  <w:p w:rsidR="009D04CF" w:rsidRDefault="009D0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4C9" w:rsidRDefault="00AF04C9" w:rsidP="009D04CF">
      <w:r>
        <w:separator/>
      </w:r>
    </w:p>
  </w:footnote>
  <w:footnote w:type="continuationSeparator" w:id="0">
    <w:p w:rsidR="00AF04C9" w:rsidRDefault="00AF04C9" w:rsidP="009D0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925AA"/>
    <w:rsid w:val="000A1206"/>
    <w:rsid w:val="000F1705"/>
    <w:rsid w:val="001168C1"/>
    <w:rsid w:val="00116E09"/>
    <w:rsid w:val="00147E81"/>
    <w:rsid w:val="001C252E"/>
    <w:rsid w:val="00264846"/>
    <w:rsid w:val="00281365"/>
    <w:rsid w:val="002B4E43"/>
    <w:rsid w:val="002B5DA4"/>
    <w:rsid w:val="002C12DE"/>
    <w:rsid w:val="002C1C11"/>
    <w:rsid w:val="002C56FC"/>
    <w:rsid w:val="002D178E"/>
    <w:rsid w:val="002E5613"/>
    <w:rsid w:val="002F12C8"/>
    <w:rsid w:val="00304D5B"/>
    <w:rsid w:val="00330C61"/>
    <w:rsid w:val="00397DCC"/>
    <w:rsid w:val="003C1069"/>
    <w:rsid w:val="00420208"/>
    <w:rsid w:val="004540EB"/>
    <w:rsid w:val="00461142"/>
    <w:rsid w:val="00486BDF"/>
    <w:rsid w:val="004E55C3"/>
    <w:rsid w:val="00510596"/>
    <w:rsid w:val="005536C7"/>
    <w:rsid w:val="00563C06"/>
    <w:rsid w:val="00565036"/>
    <w:rsid w:val="005664B3"/>
    <w:rsid w:val="00593065"/>
    <w:rsid w:val="005B5635"/>
    <w:rsid w:val="005C7290"/>
    <w:rsid w:val="005F1EEA"/>
    <w:rsid w:val="00614260"/>
    <w:rsid w:val="00632AC4"/>
    <w:rsid w:val="006516D9"/>
    <w:rsid w:val="006834D2"/>
    <w:rsid w:val="006A098A"/>
    <w:rsid w:val="006B4130"/>
    <w:rsid w:val="006C6966"/>
    <w:rsid w:val="006D1600"/>
    <w:rsid w:val="006F025A"/>
    <w:rsid w:val="0073292C"/>
    <w:rsid w:val="0073339C"/>
    <w:rsid w:val="00751282"/>
    <w:rsid w:val="00770609"/>
    <w:rsid w:val="0077268F"/>
    <w:rsid w:val="007A293D"/>
    <w:rsid w:val="007B3FD0"/>
    <w:rsid w:val="007B4F47"/>
    <w:rsid w:val="007F50DB"/>
    <w:rsid w:val="007F7B72"/>
    <w:rsid w:val="008122B6"/>
    <w:rsid w:val="008575C3"/>
    <w:rsid w:val="00866910"/>
    <w:rsid w:val="008A6448"/>
    <w:rsid w:val="008B73E2"/>
    <w:rsid w:val="008C3F85"/>
    <w:rsid w:val="00910769"/>
    <w:rsid w:val="00971782"/>
    <w:rsid w:val="00987AA1"/>
    <w:rsid w:val="009B4165"/>
    <w:rsid w:val="009C7E2E"/>
    <w:rsid w:val="009D04CF"/>
    <w:rsid w:val="00A05FCE"/>
    <w:rsid w:val="00A1382B"/>
    <w:rsid w:val="00A21747"/>
    <w:rsid w:val="00A326DA"/>
    <w:rsid w:val="00A627CB"/>
    <w:rsid w:val="00A7676C"/>
    <w:rsid w:val="00A85123"/>
    <w:rsid w:val="00A91910"/>
    <w:rsid w:val="00AC660E"/>
    <w:rsid w:val="00AE27B0"/>
    <w:rsid w:val="00AE7D7E"/>
    <w:rsid w:val="00AF04C9"/>
    <w:rsid w:val="00B162EA"/>
    <w:rsid w:val="00B92B2E"/>
    <w:rsid w:val="00BA4FFF"/>
    <w:rsid w:val="00BE0602"/>
    <w:rsid w:val="00BE54DA"/>
    <w:rsid w:val="00C1342C"/>
    <w:rsid w:val="00C36CE1"/>
    <w:rsid w:val="00C419C6"/>
    <w:rsid w:val="00C52261"/>
    <w:rsid w:val="00C565AE"/>
    <w:rsid w:val="00C64739"/>
    <w:rsid w:val="00C65AFC"/>
    <w:rsid w:val="00C91C08"/>
    <w:rsid w:val="00CF5F28"/>
    <w:rsid w:val="00D075B7"/>
    <w:rsid w:val="00D1653C"/>
    <w:rsid w:val="00D21B72"/>
    <w:rsid w:val="00D65497"/>
    <w:rsid w:val="00D665F5"/>
    <w:rsid w:val="00DA7123"/>
    <w:rsid w:val="00DC3BAA"/>
    <w:rsid w:val="00E300AD"/>
    <w:rsid w:val="00E4693B"/>
    <w:rsid w:val="00E553AB"/>
    <w:rsid w:val="00E61894"/>
    <w:rsid w:val="00E74F86"/>
    <w:rsid w:val="00E83E1D"/>
    <w:rsid w:val="00E968F3"/>
    <w:rsid w:val="00EE7D11"/>
    <w:rsid w:val="00F0081F"/>
    <w:rsid w:val="00F339D1"/>
    <w:rsid w:val="00F81661"/>
    <w:rsid w:val="00F91C44"/>
    <w:rsid w:val="00FA102B"/>
    <w:rsid w:val="00FA66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EB65DE"/>
  <w15:docId w15:val="{B9D0304B-513C-4C61-9F84-CD8C127E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D04C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D04CF"/>
    <w:pPr>
      <w:tabs>
        <w:tab w:val="center" w:pos="4677"/>
        <w:tab w:val="right" w:pos="9355"/>
      </w:tabs>
    </w:pPr>
  </w:style>
  <w:style w:type="character" w:customStyle="1" w:styleId="a7">
    <w:name w:val="Верхний колонтитул Знак"/>
    <w:basedOn w:val="a0"/>
    <w:link w:val="a6"/>
    <w:uiPriority w:val="99"/>
    <w:rsid w:val="009D04CF"/>
    <w:rPr>
      <w:lang w:eastAsia="en-US"/>
    </w:rPr>
  </w:style>
  <w:style w:type="paragraph" w:styleId="a8">
    <w:name w:val="footer"/>
    <w:basedOn w:val="a"/>
    <w:link w:val="a9"/>
    <w:uiPriority w:val="99"/>
    <w:unhideWhenUsed/>
    <w:rsid w:val="009D04CF"/>
    <w:pPr>
      <w:tabs>
        <w:tab w:val="center" w:pos="4677"/>
        <w:tab w:val="right" w:pos="9355"/>
      </w:tabs>
    </w:pPr>
  </w:style>
  <w:style w:type="character" w:customStyle="1" w:styleId="a9">
    <w:name w:val="Нижний колонтитул Знак"/>
    <w:basedOn w:val="a0"/>
    <w:link w:val="a8"/>
    <w:uiPriority w:val="99"/>
    <w:rsid w:val="009D04CF"/>
    <w:rPr>
      <w:lang w:eastAsia="en-US"/>
    </w:rPr>
  </w:style>
  <w:style w:type="paragraph" w:styleId="aa">
    <w:name w:val="Balloon Text"/>
    <w:basedOn w:val="a"/>
    <w:link w:val="ab"/>
    <w:uiPriority w:val="99"/>
    <w:semiHidden/>
    <w:unhideWhenUsed/>
    <w:rsid w:val="00971782"/>
    <w:rPr>
      <w:rFonts w:ascii="Tahoma" w:hAnsi="Tahoma" w:cs="Tahoma"/>
      <w:sz w:val="16"/>
      <w:szCs w:val="16"/>
    </w:rPr>
  </w:style>
  <w:style w:type="character" w:customStyle="1" w:styleId="ab">
    <w:name w:val="Текст выноски Знак"/>
    <w:basedOn w:val="a0"/>
    <w:link w:val="aa"/>
    <w:uiPriority w:val="99"/>
    <w:semiHidden/>
    <w:rsid w:val="009717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480385">
      <w:bodyDiv w:val="1"/>
      <w:marLeft w:val="0"/>
      <w:marRight w:val="0"/>
      <w:marTop w:val="0"/>
      <w:marBottom w:val="0"/>
      <w:divBdr>
        <w:top w:val="none" w:sz="0" w:space="0" w:color="auto"/>
        <w:left w:val="none" w:sz="0" w:space="0" w:color="auto"/>
        <w:bottom w:val="none" w:sz="0" w:space="0" w:color="auto"/>
        <w:right w:val="none" w:sz="0" w:space="0" w:color="auto"/>
      </w:divBdr>
    </w:div>
    <w:div w:id="207095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12</Pages>
  <Words>4996</Words>
  <Characters>28480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62</cp:revision>
  <cp:lastPrinted>2024-04-03T11:57:00Z</cp:lastPrinted>
  <dcterms:created xsi:type="dcterms:W3CDTF">2022-03-26T12:00:00Z</dcterms:created>
  <dcterms:modified xsi:type="dcterms:W3CDTF">2025-03-04T08:12:00Z</dcterms:modified>
</cp:coreProperties>
</file>