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E853C" w14:textId="77777777"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b/>
          <w:i/>
          <w:sz w:val="24"/>
          <w:szCs w:val="24"/>
          <w:lang w:eastAsia="ru-RU"/>
        </w:rPr>
        <w:t>На правах рукописи</w:t>
      </w:r>
    </w:p>
    <w:p w14:paraId="2C7A32D4" w14:textId="77777777"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66FCB55F" w14:textId="77777777" w:rsidR="00566DB5" w:rsidRPr="00A80F25" w:rsidRDefault="00566DB5" w:rsidP="0039590E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Минобрнауки Российской Федерации</w:t>
      </w:r>
    </w:p>
    <w:p w14:paraId="07C6ECDC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579643F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4D07CB28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высшего образования</w:t>
      </w:r>
    </w:p>
    <w:p w14:paraId="3F09AA8D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b/>
          <w:sz w:val="24"/>
          <w:szCs w:val="24"/>
          <w:lang w:eastAsia="ru-RU"/>
        </w:rPr>
        <w:t>«Оренбургский государственный университет»</w:t>
      </w:r>
    </w:p>
    <w:p w14:paraId="70E0C813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A686D78" w14:textId="77777777" w:rsidR="00566DB5" w:rsidRPr="00A80F25" w:rsidRDefault="008302E2" w:rsidP="0039590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  <w:r w:rsidRPr="00A80F25">
        <w:rPr>
          <w:rFonts w:ascii="TimesNewRomanPSMT" w:eastAsia="Times New Roman" w:hAnsi="TimesNewRomanPSMT" w:cs="TimesNewRomanPSMT"/>
          <w:sz w:val="24"/>
          <w:szCs w:val="24"/>
          <w:lang w:eastAsia="ru-RU"/>
        </w:rPr>
        <w:t>Кафедра экологии и природопользования</w:t>
      </w:r>
    </w:p>
    <w:p w14:paraId="133C9C71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74A5AAB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1A850DC4" w14:textId="77777777" w:rsidR="00566DB5" w:rsidRPr="00A80F25" w:rsidRDefault="00566DB5" w:rsidP="003959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NewRomanPSMT" w:eastAsia="Times New Roman" w:hAnsi="TimesNewRomanPSMT" w:cs="TimesNewRomanPSMT"/>
          <w:sz w:val="24"/>
          <w:szCs w:val="24"/>
          <w:lang w:eastAsia="ru-RU"/>
        </w:rPr>
      </w:pPr>
    </w:p>
    <w:p w14:paraId="7D6DE227" w14:textId="77777777" w:rsidR="00566DB5" w:rsidRPr="00A80F25" w:rsidRDefault="00566DB5" w:rsidP="0039590E">
      <w:pPr>
        <w:suppressAutoHyphens/>
        <w:spacing w:before="120" w:after="0" w:line="240" w:lineRule="auto"/>
        <w:jc w:val="center"/>
        <w:rPr>
          <w:rFonts w:ascii="TimesNewRomanPSMT" w:eastAsia="Calibri" w:hAnsi="TimesNewRomanPSMT" w:cs="TimesNewRomanPSMT"/>
          <w:sz w:val="24"/>
          <w:szCs w:val="24"/>
        </w:rPr>
      </w:pPr>
      <w:r w:rsidRPr="00A80F25">
        <w:rPr>
          <w:rFonts w:ascii="TimesNewRomanPSMT" w:eastAsia="Calibri" w:hAnsi="TimesNewRomanPSMT" w:cs="TimesNewRomanPSMT"/>
          <w:sz w:val="24"/>
          <w:szCs w:val="24"/>
        </w:rPr>
        <w:t xml:space="preserve">Методические указания для обучающихся по освоению </w:t>
      </w:r>
    </w:p>
    <w:p w14:paraId="7B89FD15" w14:textId="77777777" w:rsidR="00566DB5" w:rsidRPr="00A80F25" w:rsidRDefault="00566DB5" w:rsidP="0039590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7BF05D6" w14:textId="77777777" w:rsidR="00490E59" w:rsidRPr="00490E59" w:rsidRDefault="00490E59" w:rsidP="00490E59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  <w:r w:rsidRPr="00490E59">
        <w:rPr>
          <w:rFonts w:ascii="Times New Roman" w:eastAsia="Calibri" w:hAnsi="Times New Roman" w:cs="Times New Roman"/>
          <w:sz w:val="24"/>
        </w:rPr>
        <w:t>ДИСЦИПЛИНЫ</w:t>
      </w:r>
    </w:p>
    <w:p w14:paraId="764FE2A4" w14:textId="77777777" w:rsidR="00490E59" w:rsidRPr="00490E59" w:rsidRDefault="00490E59" w:rsidP="00490E59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490E59">
        <w:rPr>
          <w:rFonts w:ascii="Times New Roman" w:eastAsia="Calibri" w:hAnsi="Times New Roman" w:cs="Times New Roman"/>
          <w:i/>
          <w:sz w:val="24"/>
        </w:rPr>
        <w:t>«Б1.Д.В.1 Актуальные направления инженерной защиты окружающей среды»</w:t>
      </w:r>
    </w:p>
    <w:p w14:paraId="71B6B02D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8919F45" w14:textId="77777777" w:rsidR="00490E59" w:rsidRPr="00490E59" w:rsidRDefault="00490E59" w:rsidP="00490E59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90E59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5597C35A" w14:textId="77777777" w:rsidR="00490E59" w:rsidRPr="00490E59" w:rsidRDefault="00490E59" w:rsidP="00490E59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490E59">
        <w:rPr>
          <w:rFonts w:ascii="Times New Roman" w:eastAsia="Calibri" w:hAnsi="Times New Roman" w:cs="Times New Roman"/>
          <w:sz w:val="24"/>
        </w:rPr>
        <w:t>БАКАЛАВРИАТ</w:t>
      </w:r>
    </w:p>
    <w:p w14:paraId="3A2E30C2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90E59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19114CE2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90E59">
        <w:rPr>
          <w:rFonts w:ascii="Times New Roman" w:eastAsia="Calibri" w:hAnsi="Times New Roman" w:cs="Times New Roman"/>
          <w:i/>
          <w:sz w:val="24"/>
          <w:u w:val="single"/>
        </w:rPr>
        <w:t>20.03.01 Техносферная безопасность</w:t>
      </w:r>
    </w:p>
    <w:p w14:paraId="47BF3BBD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90E59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0E63A000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90E59">
        <w:rPr>
          <w:rFonts w:ascii="Times New Roman" w:eastAsia="Calibri" w:hAnsi="Times New Roman" w:cs="Times New Roman"/>
          <w:i/>
          <w:sz w:val="24"/>
          <w:u w:val="single"/>
        </w:rPr>
        <w:t>Экологическая безопасность и защита в чрезвычайных ситуациях</w:t>
      </w:r>
    </w:p>
    <w:p w14:paraId="1EFDC76A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490E59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8D7F5D1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FFE1144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90E59">
        <w:rPr>
          <w:rFonts w:ascii="Times New Roman" w:eastAsia="Calibri" w:hAnsi="Times New Roman" w:cs="Times New Roman"/>
          <w:sz w:val="24"/>
        </w:rPr>
        <w:t>Квалификация</w:t>
      </w:r>
    </w:p>
    <w:p w14:paraId="30E93C57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90E59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7EBC98E3" w14:textId="77777777" w:rsidR="00490E59" w:rsidRPr="00490E59" w:rsidRDefault="00490E59" w:rsidP="00490E59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90E59">
        <w:rPr>
          <w:rFonts w:ascii="Times New Roman" w:eastAsia="Calibri" w:hAnsi="Times New Roman" w:cs="Times New Roman"/>
          <w:sz w:val="24"/>
        </w:rPr>
        <w:t>Форма обучения</w:t>
      </w:r>
    </w:p>
    <w:p w14:paraId="24424104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490E59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1CC4F65F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B2C4BAA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D5F9896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76DBEE8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841B368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B8C708C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5C6ADE8" w14:textId="77777777" w:rsidR="00490E59" w:rsidRPr="00490E59" w:rsidRDefault="00490E59" w:rsidP="00490E5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20A91A5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A824427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27D6482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F85AEFB" w14:textId="77777777" w:rsidR="00C11E92" w:rsidRPr="00A80F25" w:rsidRDefault="00C11E92" w:rsidP="00C11E9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696D8A1" w14:textId="3DAAB8DE" w:rsidR="00566DB5" w:rsidRPr="00A80F25" w:rsidRDefault="004D137F" w:rsidP="0039590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566DB5" w:rsidRPr="00A80F25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Год набора 202</w:t>
      </w:r>
      <w:r w:rsidR="000269BC">
        <w:rPr>
          <w:rFonts w:ascii="Times New Roman" w:eastAsia="Calibri" w:hAnsi="Times New Roman" w:cs="Times New Roman"/>
          <w:sz w:val="24"/>
          <w:szCs w:val="24"/>
        </w:rPr>
        <w:t>5</w:t>
      </w:r>
      <w:bookmarkStart w:id="1" w:name="_GoBack"/>
      <w:bookmarkEnd w:id="1"/>
    </w:p>
    <w:p w14:paraId="240185A9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Составители _____________________ </w:t>
      </w:r>
      <w:r w:rsidR="00597F2B">
        <w:rPr>
          <w:rFonts w:ascii="Times New Roman" w:eastAsia="Calibri" w:hAnsi="Times New Roman" w:cs="Times New Roman"/>
          <w:sz w:val="24"/>
          <w:szCs w:val="24"/>
        </w:rPr>
        <w:t>Гривко Е.В.</w:t>
      </w:r>
    </w:p>
    <w:p w14:paraId="697170D2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020C9E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AAEB8E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1B7E7B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C11E92" w:rsidRPr="00A80F25">
        <w:rPr>
          <w:rFonts w:ascii="Times New Roman" w:eastAsia="Calibri" w:hAnsi="Times New Roman" w:cs="Times New Roman"/>
          <w:sz w:val="24"/>
          <w:szCs w:val="24"/>
        </w:rPr>
        <w:t>экологии и природопользования</w:t>
      </w:r>
    </w:p>
    <w:p w14:paraId="42CFEAA2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691A4D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Заведующий кафедрой ________________________</w:t>
      </w:r>
      <w:r w:rsidR="00A16E98">
        <w:rPr>
          <w:rFonts w:ascii="Times New Roman" w:eastAsia="Calibri" w:hAnsi="Times New Roman" w:cs="Times New Roman"/>
          <w:sz w:val="24"/>
          <w:szCs w:val="24"/>
        </w:rPr>
        <w:t>Глуховская М.Ю.</w:t>
      </w:r>
    </w:p>
    <w:p w14:paraId="0422C07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3E2318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ED51A5A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0609EDF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5BBC95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0282A61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FEEBD48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4E0382A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8D7884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F93467C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003DC3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F23E34E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ED3D91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03C1235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9366B3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0D7CCFF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1E04919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61249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DC58CE6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EBB1770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A7F1341" w14:textId="77777777" w:rsidR="00566DB5" w:rsidRPr="00A80F25" w:rsidRDefault="00566DB5" w:rsidP="009E651B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80F25">
        <w:rPr>
          <w:rFonts w:ascii="Times New Roman" w:eastAsia="Calibri" w:hAnsi="Times New Roman" w:cs="Times New Roman"/>
          <w:sz w:val="24"/>
          <w:szCs w:val="24"/>
        </w:rPr>
        <w:t>Методические указания  явля</w:t>
      </w:r>
      <w:r w:rsidR="003713FD">
        <w:rPr>
          <w:rFonts w:ascii="Times New Roman" w:eastAsia="Calibri" w:hAnsi="Times New Roman" w:cs="Times New Roman"/>
          <w:sz w:val="24"/>
          <w:szCs w:val="24"/>
        </w:rPr>
        <w:t>ю</w:t>
      </w: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тся приложением к рабочей программе по дисциплине </w:t>
      </w:r>
      <w:r w:rsidR="009E651B" w:rsidRPr="003B01F1">
        <w:rPr>
          <w:rFonts w:ascii="Times New Roman" w:eastAsia="Calibri" w:hAnsi="Times New Roman" w:cs="Times New Roman"/>
          <w:i/>
          <w:sz w:val="24"/>
        </w:rPr>
        <w:t>«Б.1.В.ОД.1 Актуальные направления инженерной защиты окружающей среды»</w:t>
      </w:r>
      <w:r w:rsidRPr="00A80F25">
        <w:rPr>
          <w:rFonts w:ascii="Times New Roman" w:eastAsia="Calibri" w:hAnsi="Times New Roman" w:cs="Times New Roman"/>
          <w:sz w:val="24"/>
          <w:szCs w:val="24"/>
        </w:rPr>
        <w:t xml:space="preserve">, зарегистрированной в ЦИТ под учетным номером___________ </w:t>
      </w:r>
      <w:r w:rsidRPr="00A80F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129037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66DB5" w:rsidRPr="00A80F25" w14:paraId="0771820B" w14:textId="77777777" w:rsidTr="00DF5B4A">
        <w:tc>
          <w:tcPr>
            <w:tcW w:w="3522" w:type="dxa"/>
          </w:tcPr>
          <w:p w14:paraId="4B333B29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  <w:tr w:rsidR="00566DB5" w:rsidRPr="00A80F25" w14:paraId="33B599DB" w14:textId="77777777" w:rsidTr="00DF5B4A">
        <w:tc>
          <w:tcPr>
            <w:tcW w:w="3522" w:type="dxa"/>
          </w:tcPr>
          <w:p w14:paraId="289693EC" w14:textId="77777777" w:rsidR="00566DB5" w:rsidRPr="00A80F25" w:rsidRDefault="00566DB5" w:rsidP="006B0FB3">
            <w:pPr>
              <w:suppressLineNumbers/>
              <w:spacing w:after="0" w:line="240" w:lineRule="auto"/>
              <w:jc w:val="both"/>
              <w:rPr>
                <w:rFonts w:ascii="Times New Roman" w:eastAsia="Calibri" w:hAnsi="Times New Roman" w:cs="Courier New"/>
                <w:sz w:val="24"/>
                <w:szCs w:val="24"/>
              </w:rPr>
            </w:pPr>
          </w:p>
        </w:tc>
      </w:tr>
    </w:tbl>
    <w:p w14:paraId="58DC2738" w14:textId="77777777" w:rsidR="00566DB5" w:rsidRPr="00A80F2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0D9862F" w14:textId="77777777" w:rsidR="00566DB5" w:rsidRPr="00A80F25" w:rsidRDefault="00566DB5" w:rsidP="006B0FB3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80F2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 w:type="page"/>
      </w:r>
    </w:p>
    <w:p w14:paraId="03FD6FB3" w14:textId="77777777" w:rsidR="00566DB5" w:rsidRPr="00566DB5" w:rsidRDefault="00566DB5" w:rsidP="006B0FB3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2CB2E977" w14:textId="77777777" w:rsidR="0050549F" w:rsidRPr="0050549F" w:rsidRDefault="0050549F" w:rsidP="0050549F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Содержание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8901"/>
        <w:gridCol w:w="567"/>
      </w:tblGrid>
      <w:tr w:rsidR="0050549F" w:rsidRPr="0050549F" w14:paraId="7F69FE4E" w14:textId="77777777" w:rsidTr="00AB4104">
        <w:trPr>
          <w:trHeight w:val="508"/>
        </w:trPr>
        <w:tc>
          <w:tcPr>
            <w:tcW w:w="8897" w:type="dxa"/>
            <w:hideMark/>
          </w:tcPr>
          <w:p w14:paraId="66B33FFD" w14:textId="77777777" w:rsidR="0050549F" w:rsidRPr="0050549F" w:rsidRDefault="0050549F" w:rsidP="0050549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Методические указания к лекционным занятиям ………… ……………………….</w:t>
            </w:r>
          </w:p>
        </w:tc>
        <w:tc>
          <w:tcPr>
            <w:tcW w:w="567" w:type="dxa"/>
            <w:vAlign w:val="bottom"/>
            <w:hideMark/>
          </w:tcPr>
          <w:p w14:paraId="05AAAAE0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</w:p>
        </w:tc>
      </w:tr>
      <w:tr w:rsidR="0050549F" w:rsidRPr="0050549F" w14:paraId="0E4BF6BF" w14:textId="77777777" w:rsidTr="00AB4104">
        <w:trPr>
          <w:trHeight w:val="508"/>
        </w:trPr>
        <w:tc>
          <w:tcPr>
            <w:tcW w:w="8897" w:type="dxa"/>
            <w:hideMark/>
          </w:tcPr>
          <w:p w14:paraId="204DF99D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505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</w:t>
            </w:r>
            <w:r w:rsidRPr="0050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 </w:t>
            </w:r>
            <w:r w:rsidRPr="00505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лабораторным работам…………………..</w:t>
            </w:r>
            <w:r w:rsidRPr="00505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……………</w:t>
            </w:r>
          </w:p>
        </w:tc>
        <w:tc>
          <w:tcPr>
            <w:tcW w:w="567" w:type="dxa"/>
            <w:vAlign w:val="bottom"/>
            <w:hideMark/>
          </w:tcPr>
          <w:p w14:paraId="6A6DB880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50549F" w:rsidRPr="0050549F" w14:paraId="3AC341ED" w14:textId="77777777" w:rsidTr="00AB4104">
        <w:trPr>
          <w:trHeight w:val="508"/>
        </w:trPr>
        <w:tc>
          <w:tcPr>
            <w:tcW w:w="8897" w:type="dxa"/>
            <w:hideMark/>
          </w:tcPr>
          <w:p w14:paraId="1345B49D" w14:textId="77777777" w:rsidR="0050549F" w:rsidRPr="0050549F" w:rsidRDefault="0050549F" w:rsidP="0050549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Методические указания по самостоятельной работе …..…… ……………………….</w:t>
            </w:r>
          </w:p>
        </w:tc>
        <w:tc>
          <w:tcPr>
            <w:tcW w:w="567" w:type="dxa"/>
            <w:vAlign w:val="bottom"/>
            <w:hideMark/>
          </w:tcPr>
          <w:p w14:paraId="742E997D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50549F" w:rsidRPr="0050549F" w14:paraId="483878F7" w14:textId="77777777" w:rsidTr="00AB4104">
        <w:trPr>
          <w:trHeight w:val="508"/>
        </w:trPr>
        <w:tc>
          <w:tcPr>
            <w:tcW w:w="8897" w:type="dxa"/>
            <w:hideMark/>
          </w:tcPr>
          <w:p w14:paraId="6FC50221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Порядок выполнения письменных работ в рамках самостоятельной работы </w:t>
            </w:r>
          </w:p>
        </w:tc>
        <w:tc>
          <w:tcPr>
            <w:tcW w:w="567" w:type="dxa"/>
            <w:vAlign w:val="bottom"/>
            <w:hideMark/>
          </w:tcPr>
          <w:p w14:paraId="73EF8E71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50549F" w:rsidRPr="0050549F" w14:paraId="78F89773" w14:textId="77777777" w:rsidTr="00AB4104">
        <w:trPr>
          <w:trHeight w:val="508"/>
        </w:trPr>
        <w:tc>
          <w:tcPr>
            <w:tcW w:w="8897" w:type="dxa"/>
          </w:tcPr>
          <w:p w14:paraId="39857592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4.1 Методические указания по выполнению презентации </w:t>
            </w:r>
          </w:p>
          <w:p w14:paraId="4FFC33B6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14:paraId="1958A682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50549F" w:rsidRPr="0050549F" w14:paraId="5A742A24" w14:textId="77777777" w:rsidTr="00AB4104">
        <w:trPr>
          <w:trHeight w:val="508"/>
        </w:trPr>
        <w:tc>
          <w:tcPr>
            <w:tcW w:w="8897" w:type="dxa"/>
          </w:tcPr>
          <w:p w14:paraId="73D708E4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4.2. Методические указания по выполнению доклада (реферата) </w:t>
            </w:r>
          </w:p>
          <w:p w14:paraId="1B7D053F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14:paraId="263F0373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50549F" w:rsidRPr="0050549F" w14:paraId="1EB133FF" w14:textId="77777777" w:rsidTr="00AB4104">
        <w:trPr>
          <w:trHeight w:val="508"/>
        </w:trPr>
        <w:tc>
          <w:tcPr>
            <w:tcW w:w="8897" w:type="dxa"/>
            <w:hideMark/>
          </w:tcPr>
          <w:p w14:paraId="35819F57" w14:textId="77777777" w:rsidR="0050549F" w:rsidRPr="0050549F" w:rsidRDefault="0050549F" w:rsidP="005054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</w:rPr>
              <w:t>4.3.Методические указания по подготовке творческого домашнего задания</w:t>
            </w:r>
          </w:p>
        </w:tc>
        <w:tc>
          <w:tcPr>
            <w:tcW w:w="567" w:type="dxa"/>
            <w:vAlign w:val="bottom"/>
            <w:hideMark/>
          </w:tcPr>
          <w:p w14:paraId="48CA9489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10</w:t>
            </w:r>
          </w:p>
        </w:tc>
      </w:tr>
      <w:tr w:rsidR="0050549F" w:rsidRPr="0050549F" w14:paraId="1DD4FE95" w14:textId="77777777" w:rsidTr="00AB4104">
        <w:trPr>
          <w:trHeight w:val="431"/>
        </w:trPr>
        <w:tc>
          <w:tcPr>
            <w:tcW w:w="8897" w:type="dxa"/>
            <w:hideMark/>
          </w:tcPr>
          <w:p w14:paraId="0F248A84" w14:textId="77777777" w:rsidR="0050549F" w:rsidRPr="0050549F" w:rsidRDefault="0050549F" w:rsidP="0050549F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Методические указания по текущей и промежуточной аттестации ……………..</w:t>
            </w:r>
          </w:p>
        </w:tc>
        <w:tc>
          <w:tcPr>
            <w:tcW w:w="567" w:type="dxa"/>
            <w:vAlign w:val="bottom"/>
            <w:hideMark/>
          </w:tcPr>
          <w:p w14:paraId="07E2AB5F" w14:textId="77777777" w:rsidR="0050549F" w:rsidRPr="0050549F" w:rsidRDefault="0050549F" w:rsidP="0050549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50549F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11</w:t>
            </w:r>
          </w:p>
        </w:tc>
      </w:tr>
    </w:tbl>
    <w:p w14:paraId="0F374DE8" w14:textId="77777777" w:rsidR="0050549F" w:rsidRPr="0050549F" w:rsidRDefault="0050549F" w:rsidP="0050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B48476" w14:textId="77777777" w:rsidR="0050549F" w:rsidRPr="0050549F" w:rsidRDefault="0050549F" w:rsidP="005054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4A9223" w14:textId="77777777" w:rsidR="0050549F" w:rsidRPr="0050549F" w:rsidRDefault="0050549F" w:rsidP="005054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ED51871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Методические указания к лекционным занятиям </w:t>
      </w:r>
    </w:p>
    <w:p w14:paraId="701764B7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7FAD20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>Лекционное занятие представляет собой систематическое, последовательное, монологическое изложение преподавателем-лектором учебного материала, как правило, теоретического характера. 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слушателям основное содержание предмета в целостном, систематизированном виде.</w:t>
      </w:r>
    </w:p>
    <w:p w14:paraId="59218D26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средством работы на лекционном занятии является конспектирование. Конспектирование – процесс мысленной переработки и письменной фиксации информации, в виде краткого изложения основного содержания, смысла какого-либо текста. Результат конспектирования – запись, позволяющая студенту немедленно или через некоторый срок с нужной полнотой восстановить полученную информацию. Конспект в переводе с латыни означает «обзор». По существу его и составлять надо как обзор, содержащий основные мысли текста без подробностей и второстепенных деталей. Конспект носит индивидуализированный характер. </w:t>
      </w:r>
    </w:p>
    <w:p w14:paraId="7730D38D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которые дает лектор, стоит по возможности записать дословно и выделить другим цветом или же подчеркнуть. В случае изложения лектором хода научной дискуссии желательно кратко законспектировать существо вопроса, основные позиции и фамилии ученых, их отстаивающих. Если в обоснование своих выводов лектор приводит ссылки на справочники, статистические данные, нормативные акты и другие официально опубликованные сведения, имеет смысл лишь кратко отразить их содержание и указать источник, в котором можно полностью почерпнуть излагаемую информацию.</w:t>
      </w:r>
    </w:p>
    <w:p w14:paraId="2730C5E1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студента по ходу лекции вопросов, их следует записать и задать в конце лекции в специально отведенное для этого время.</w:t>
      </w:r>
    </w:p>
    <w:p w14:paraId="152413BF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лекции (в тот же или на следующий день, пока еще в памяти сохранилась информация) студентам рекомендуется доработать свои конспекты, привести их в порядок, дополнить сведениями с учетом дополнительно изученного нормативного, справочного и научного материала. Крайне желательно на полях конспекта отмечать не только изученные точки зрения ученых по рассматриваемой проблеме, но и выражать согласие или несогласие самого студента с законспектированными положениями и материалами.</w:t>
      </w:r>
    </w:p>
    <w:p w14:paraId="2416330C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Лекционное занятие предназначено для изложения особенно важных, проблемных, актуальных в современной науке вопросов. Лекция, также как и семинарское, практическое занятие, требует от студентов определенной подготовки. Студент обязательно должен знать тему предстоящего лекционного занятия и обеспечить себе необходимый уровень активного участия: подобрать и ознакомиться, а при необходимости иметь с собой рекомендуемый преподавателем материал, повторить ранее пройденные темы по вопросам, которые будут затрагиваться в предстоящей лекции, вспомнить материал иных дисциплин.</w:t>
      </w:r>
    </w:p>
    <w:p w14:paraId="02B110BB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>Конспекты лекций следует использовать при подготовке к опросу, экзамену, при выполнении самостоятельных заданий.</w:t>
      </w:r>
    </w:p>
    <w:p w14:paraId="5DDB8057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8D78278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 Методические указания </w:t>
      </w:r>
      <w:r w:rsidRPr="0050549F">
        <w:rPr>
          <w:rFonts w:ascii="Times New Roman" w:eastAsia="Calibri" w:hAnsi="Times New Roman" w:cs="Times New Roman"/>
          <w:b/>
          <w:sz w:val="24"/>
          <w:szCs w:val="24"/>
        </w:rPr>
        <w:t xml:space="preserve">к </w:t>
      </w:r>
      <w:r w:rsidRPr="005054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лабораторным работам  </w:t>
      </w:r>
    </w:p>
    <w:p w14:paraId="0EB4FF8D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BC826A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работы (ЛР) - основные виды учебных занятий, направленные на экспериментальное подтверждение теоретических положений и формирование учебных и  профессиональных практических умений.</w:t>
      </w:r>
    </w:p>
    <w:p w14:paraId="6AE3ED34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выполнения лабораторных работ является:</w:t>
      </w:r>
    </w:p>
    <w:p w14:paraId="450FD5C8" w14:textId="77777777" w:rsidR="0050549F" w:rsidRPr="0050549F" w:rsidRDefault="0050549F" w:rsidP="0050549F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обобщение, систематизация, углубление, закрепление полученных теоретических знаний по конкретным темам дисциплины;</w:t>
      </w:r>
    </w:p>
    <w:p w14:paraId="0B893718" w14:textId="77777777" w:rsidR="0050549F" w:rsidRPr="0050549F" w:rsidRDefault="0050549F" w:rsidP="0050549F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применять полученные знания на практике, реализация единства интеллектуальной и практической деятельности;</w:t>
      </w:r>
    </w:p>
    <w:p w14:paraId="2A135A9A" w14:textId="77777777" w:rsidR="0050549F" w:rsidRPr="0050549F" w:rsidRDefault="0050549F" w:rsidP="0050549F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умений у будущих специалистов; аналитических, проектировочных, конструктивных и др.</w:t>
      </w:r>
    </w:p>
    <w:p w14:paraId="43879957" w14:textId="77777777" w:rsidR="0050549F" w:rsidRPr="0050549F" w:rsidRDefault="0050549F" w:rsidP="0050549F">
      <w:pPr>
        <w:numPr>
          <w:ilvl w:val="0"/>
          <w:numId w:val="8"/>
        </w:num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выработку при решении поставленных задач таких профессионально значимых качеств, как самостоятельность, ответственность, точность, творческая инициатива.</w:t>
      </w:r>
    </w:p>
    <w:p w14:paraId="44127ED0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497D419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своему содержанию лабораторные работы представляют собой наблюдения, измерения и опыты, тесно связанные с темой занятия. Выполнение всех работ является обязательным для всех обучающихся. Лабораторные работы являются эффективным средством активизации и мотивации обучения по дисциплине, способствуют применению различных методов и приемов обучения для формирования у обучающихся системы прочных знаний, интеллектуальных и практических умений и навыков, помогают развитию мышления обучающихся, так как побуждают к выполнению умственных операций: анализу, синтезу, сравнению, обобщению и др.</w:t>
      </w:r>
    </w:p>
    <w:p w14:paraId="1FB07117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каждой лабораторной работы, входящей в практикум, предусматривает следующие этапы: 1) теоретическую подготовку; 2) допуск к выполнению работы; 3) проведение эксперимента, наблюдение и измерение; 4) обработку результатов измерений; 5) отчет о выполнении лабораторной работы; 6) защиту выполненной работы.</w:t>
      </w:r>
    </w:p>
    <w:p w14:paraId="4EEF4710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 xml:space="preserve">Лабораторные работы, которые студент не выполнил в течение семестра по уважительной причине, могут быть выполнены им на дополнительных занятиях, организованных в учебной лаборатории. Допуск к выполнению пропущенной лабораторной работы студент должен получить у преподавателя, ведущего занятия в данной учебной группе; при этом преподаватель делает соответствующую запись в журнале учета лабораторных занятий. </w:t>
      </w:r>
    </w:p>
    <w:p w14:paraId="4C860422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 xml:space="preserve">Теоретическая подготовка сводится к изучению   основных понятий и положений к дисциплине по рекомендованным учебным пособиям для ответа на вопросы допуска и контрольные вопросы, изучению описания заданной лабораторной работы в целях ознакомления с методикой измерения и порядком выполнения работы. </w:t>
      </w:r>
    </w:p>
    <w:p w14:paraId="4C596597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 xml:space="preserve">Подготовка проводится заранее, до выполнения лабораторной работы, так как аудиторные занятия предназначены только для получения допуска к работе, на проведение измерений и защиту лабораторной работы. </w:t>
      </w:r>
    </w:p>
    <w:p w14:paraId="1C9B3882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 xml:space="preserve">Допуск к выполнению работы состоит в проверке преподавателем теоретической подготовки студента к каждой работе (самостоятельному выводу рабочих формул, которые используются в работе), знания метода измерений и порядка выполнения работы. Чтобы эта беседа с преподавателем была полезной, при изучении описания работы нужно отметить неясные вопросы и обязательно выяснить их на допуске. Для допуска студент предоставляет персональный конспект данной лабораторной работы. </w:t>
      </w:r>
    </w:p>
    <w:p w14:paraId="09D3A73A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t xml:space="preserve">Организация исследований требуют от студента знания методов измерений, должного внимания и аккуратности при снятии показаний и записи результатов измерений. Лаборант следит за выполнением эксперимента, визирует полученные данные и в лабораторном журнале отмечает факт выполнения эксперимента. Обработка результатов измерений заключается в представлении результатов в наглядной форме и их математической обработке. </w:t>
      </w:r>
    </w:p>
    <w:p w14:paraId="17C300F0" w14:textId="77777777" w:rsidR="0050549F" w:rsidRPr="0050549F" w:rsidRDefault="0050549F" w:rsidP="005054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549F">
        <w:rPr>
          <w:rFonts w:ascii="Times New Roman" w:eastAsia="Calibri" w:hAnsi="Times New Roman" w:cs="Times New Roman"/>
          <w:sz w:val="24"/>
          <w:szCs w:val="24"/>
        </w:rPr>
        <w:lastRenderedPageBreak/>
        <w:t>Защита выполненной работы сводится к представлению преподавателю результатов эксперимента, представленных в отчете и доказательству того, что измерение выполнено правильно, согласно нормативам, предъявляемым к методам измерений.</w:t>
      </w:r>
    </w:p>
    <w:p w14:paraId="2F07B8C0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47751E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работы составлены в виде инструкций. Каждая инструкция содержит цель работы, перечень оборудования, краткую теорию, ход выполнения работы (включая графы для составления отчета) и контрольные вопросы, обращающие внимание обучающихся на существенные стороны изучаемых явлений. Вопросы помогают глубже осмыслить производимые действия и полученные результаты и на их основе самостоятельно сделать необходимые выводы.</w:t>
      </w:r>
    </w:p>
    <w:p w14:paraId="0E64D1CC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Систематическое и аккуратное выполнение всей совокупности лабораторных работ позволит обучающемуся овладеть умениями самостоятельно организовывать исследование, фиксировать свои наблюдения и измерения, анализировать их делать выводы в целях дальнейшего использования полученных знаний и умений.</w:t>
      </w:r>
    </w:p>
    <w:p w14:paraId="4CD1470A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более эффективного выполнения лабораторных работ необходимо повторить соответствующий теоретический материал, а на занятиях, прежде всего, внимательно ознакомиться с содержанием работы и оборудованием.</w:t>
      </w:r>
    </w:p>
    <w:p w14:paraId="139F32DC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работы необходимо строго соблюдать правила по технике безопасности; все измерения производить с максимальной тщательностью.</w:t>
      </w:r>
    </w:p>
    <w:p w14:paraId="5D6EEECC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работы каждый обучающийся должен предоставить отчет. Небрежное оформление отчета, исправление уже написанного недопустимо.</w:t>
      </w:r>
    </w:p>
    <w:p w14:paraId="03CBEFE4" w14:textId="77777777" w:rsidR="0050549F" w:rsidRPr="0050549F" w:rsidRDefault="0050549F" w:rsidP="0050549F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054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занятия преподаватель ставит зачет, который складывается из результатов наблюдения за выполнением практической части работы, проверки отчета, беседы в ходе работы или после нее. Все лабораторные работы должны быть выполнены и защищены в сроки, определяемые программой или календарным планом преподавателя. Обучающиеся, не получившие зачет, к экзамену не допускаются.</w:t>
      </w:r>
    </w:p>
    <w:p w14:paraId="41BEA0E5" w14:textId="77777777" w:rsidR="0050549F" w:rsidRDefault="0050549F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2F4B54" w14:textId="77777777" w:rsidR="008302E2" w:rsidRPr="008302E2" w:rsidRDefault="00586989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самостоятельной работе</w:t>
      </w:r>
    </w:p>
    <w:p w14:paraId="3669C310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6D05B9" w14:textId="77777777" w:rsidR="008302E2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удентов представляет собой сово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купность аудиторных и внеаудит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орных занятий и работ, обеспечи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вающих успешное освоение образовательной программы высшего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 образования в соответствии с требованиями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ФГОС.</w:t>
      </w:r>
    </w:p>
    <w:p w14:paraId="7B813390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аудиторны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занятий в вузе — лекция, прак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тическое занятие,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лабораторные работы,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коллоквиум,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рамках контрольных мероп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риятий — за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чет,</w:t>
      </w:r>
      <w:r w:rsidR="00DC4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диф. зачет либо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экзамен. </w:t>
      </w:r>
    </w:p>
    <w:p w14:paraId="26A425B5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Подготовка к лекции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Необходимость самостоятельной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подготовке к лекции определяе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 тем, что изучение любой дис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циплины строится по определенной логике освоения ее разделов,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представленных в рабочей программе дисциплины. Чаще всего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изучения того или иного предмета заключатся в движении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рассмотрения общих научных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к анализу конкретных 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цессов и факторов, определяющих функционирование и изменение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предмета.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учесть, что преподаватели нередко представляют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краткие конспекты своих лекций вместе с рабочей программой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авторские учебники, пособия по преподаваемому предмету.</w:t>
      </w:r>
    </w:p>
    <w:p w14:paraId="0247571E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этими материалами позволяет заранее ознакомиться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основными положениями предстоящей лекции и активно задавать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вопросы при ее изложении.</w:t>
      </w:r>
    </w:p>
    <w:p w14:paraId="05E5BC85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при чтении новой лекции обычно указывает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ее содержания с тем, которое было прежде изучено. Качество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содержания конкретной дисциплины прямо зависит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насколько студент сам, без внешнего принуждения формирует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себя установку на получение н</w:t>
      </w:r>
      <w:r w:rsidR="00711662">
        <w:rPr>
          <w:rFonts w:ascii="Times New Roman" w:eastAsia="Times New Roman" w:hAnsi="Times New Roman" w:cs="Times New Roman"/>
          <w:sz w:val="24"/>
          <w:szCs w:val="24"/>
          <w:lang w:eastAsia="ru-RU"/>
        </w:rPr>
        <w:t>а лекциях новых знаний, дополня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уже имеющиеся по данной дисциплине.</w:t>
      </w:r>
    </w:p>
    <w:p w14:paraId="597DEAA5" w14:textId="77777777" w:rsid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3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Подготовка к экзамену.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Экзамен представляет собой форму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учебной деятельности студента, которая используется,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учебная дисциплина составляет две и более зачетных единиц,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т. е. изучается более 72 часов. Оценка выявленных на экзамене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знаний, умений и компетенций дифференцирована: в зачетной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книжке ставится оценка «удовлетворительно», «хорошо» или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«отлично».</w:t>
      </w:r>
    </w:p>
    <w:p w14:paraId="4E9FB2D8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подготовка к экзамену схожа с подготовкой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зачету, особенно если он ди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фференцированный. Но объем учеб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материала, который нужно восстановить в памяти к экзамену,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вновь осмыслить и понять, значительно больше, поэтому требуется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 времени и умственных усилий. Необходимо перечитать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вспомнить то, что говорилось преподавателем на 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лабораторных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практических занятиях, а так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же самостоятельно полученную ин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формацию при подготовке к ним. Важно сформировать целостное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содержании отве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на каждый вопрос, что предпо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лагает знание разных научных трактовок сущности того или иного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явления, процесса, умение раскрывать факторы, определяющие их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противоречивость, знание имен ученых, изучавших обсуждаемую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проблему. Необходимо также привести информацию о материалах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эмпирических исследований, чт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о указывает на всестороннюю под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готовку студента к экзамену. Ответ, в котором присутствуют все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блоки информации, наверняка будет отмечен высокими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баллами. Для их получения треб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 ответить и на дополнитель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вопросы, если экзамен проходит в устной форме.</w:t>
      </w:r>
    </w:p>
    <w:p w14:paraId="5F9CDD23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Экзамены проводятся по билетам</w:t>
      </w:r>
      <w:r w:rsidRPr="00480D2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подписанным составителем билетов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заведующим кафедрой, или тестовым заданиям, утвержденным в установленном порядке.</w:t>
      </w:r>
    </w:p>
    <w:p w14:paraId="1FDC6B4C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</w:t>
      </w:r>
    </w:p>
    <w:p w14:paraId="660D0572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экзаменов в аудитории должны находиться: рабочая программа дисциплины (модуля), аттестационная ведомость, утвержденные заведующим кафедрой билеты.</w:t>
      </w:r>
    </w:p>
    <w:p w14:paraId="1C96C128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явке на экзамены и зачеты студенты обязаны иметь при себе зачетную книжку, а в необходимых случаях, определяемых кафедрами, и выполненные работы. </w:t>
      </w:r>
    </w:p>
    <w:p w14:paraId="5E7CCDBB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по заочной обучения форме кроме этого должны иметь при себе проверенные контрольные работы, которые после сдачи экзамена передаются на хранение на кафедру, за которой закреплена дисциплина.</w:t>
      </w:r>
    </w:p>
    <w:p w14:paraId="74ED7398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Присутствие на экзаменах посторонних лиц, за исключением лиц, имеющих право осуществлять контроль за проведением экзаменов и зачетов, без разрешения проректора по учебной работе или декана факультета не допускается.</w:t>
      </w:r>
    </w:p>
    <w:p w14:paraId="5478874D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экзамена студенты обязаны соблюдать установленные университетом правила поведения и выполнения экзаменационных заданий. При нарушении правил студент удаляется с экзамена.</w:t>
      </w:r>
    </w:p>
    <w:p w14:paraId="2EEB8332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14:paraId="1C14D00F" w14:textId="77777777" w:rsidR="00807D36" w:rsidRDefault="00807D36" w:rsidP="00807D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выпускных курсов обязаны ликвидировать академическую задолженность за месяц до начала государственной итоговой аттестации.</w:t>
      </w:r>
    </w:p>
    <w:p w14:paraId="657EA072" w14:textId="77777777" w:rsidR="006B0FB3" w:rsidRP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подготовку к экзамену осуществлять в два этапа.</w:t>
      </w:r>
    </w:p>
    <w:p w14:paraId="45DE1CD1" w14:textId="77777777" w:rsidR="006B0FB3" w:rsidRDefault="006B0FB3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первом, в течение 2–3 дней, подбирается из разных источников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материал, необходимый для р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азвернутых ответов на все вопро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сы. Ответы можно записать в виде краткого конспекта. На втором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этапе по памяти восстанавливается содержание того, что записано</w:t>
      </w:r>
      <w:r w:rsidR="00A32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0FB3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ответах на каждый вопрос.</w:t>
      </w:r>
    </w:p>
    <w:p w14:paraId="75044AE0" w14:textId="77777777" w:rsidR="008302E2" w:rsidRDefault="008302E2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B9621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 письменных работ в рамках самостоятельной работы </w:t>
      </w:r>
    </w:p>
    <w:p w14:paraId="22F604B9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1FEF4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К выполнению письменных работ в рамках любого вида самостоятельной работы можно приступать только после изучения соответствующей темы (раздела, подраздела). При выполнении письменных работ в рамках самостоятельных работ необходимо соблюдать следующие общие требования: </w:t>
      </w:r>
    </w:p>
    <w:p w14:paraId="0B2BF20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при написании конспекта, письменных ответов на вопросы, рефератов, эссе и т.п. текст не должен дословно повторять текст учебника (учебного пособия), Интернет-ресурса или инструкции; </w:t>
      </w:r>
    </w:p>
    <w:p w14:paraId="2FF0D1F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текст необход</w:t>
      </w:r>
      <w:r>
        <w:rPr>
          <w:rFonts w:ascii="Times New Roman" w:hAnsi="Times New Roman" w:cs="Times New Roman"/>
          <w:sz w:val="24"/>
          <w:szCs w:val="24"/>
        </w:rPr>
        <w:t>имо писать грамотно и разборчиво</w:t>
      </w:r>
      <w:r w:rsidRPr="003D0D2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4B36E8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графический материал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3D0D2A">
        <w:rPr>
          <w:rFonts w:ascii="Times New Roman" w:hAnsi="Times New Roman" w:cs="Times New Roman"/>
          <w:sz w:val="24"/>
          <w:szCs w:val="24"/>
        </w:rPr>
        <w:t xml:space="preserve"> оформлять в соответствии с ГОСТом.</w:t>
      </w:r>
    </w:p>
    <w:p w14:paraId="32A53386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B671C7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D0D2A">
        <w:rPr>
          <w:rFonts w:ascii="Times New Roman" w:hAnsi="Times New Roman" w:cs="Times New Roman"/>
          <w:b/>
          <w:sz w:val="24"/>
          <w:szCs w:val="24"/>
        </w:rPr>
        <w:t xml:space="preserve"> Методические указания по выполнению презентации </w:t>
      </w:r>
    </w:p>
    <w:p w14:paraId="20378775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5454C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Презентации должны быть выполнены в формате Power Point и состоять из 10 слайдов:</w:t>
      </w:r>
    </w:p>
    <w:p w14:paraId="7744C50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 - 1 слайд должен содержать название учебного заведения, тему презентации, название темы, специальности номер и «наименование», ФИО, группу выполнившего презентацию обучающегося и ФИО проверяющего презентацию преподавателя; </w:t>
      </w:r>
    </w:p>
    <w:p w14:paraId="2448B2D5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- 2…9 слайды должны раскрывать суть заданной темы. При этом необходимо соблюдать требования по созданию презентаций (фон, размер шрифта, анимацию и т.д.); </w:t>
      </w:r>
    </w:p>
    <w:p w14:paraId="14015BE4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- 10 слайд «Спасибо за внимание!».</w:t>
      </w:r>
    </w:p>
    <w:p w14:paraId="132EEA62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E2800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</w:t>
      </w:r>
      <w:r w:rsidRPr="003D0D2A">
        <w:rPr>
          <w:rFonts w:ascii="Times New Roman" w:hAnsi="Times New Roman" w:cs="Times New Roman"/>
          <w:b/>
          <w:sz w:val="24"/>
          <w:szCs w:val="24"/>
        </w:rPr>
        <w:t>. Методические указания по выполнению доклада (реферата)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7536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26963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Доклад (реферат)— вид самостоятельной научно — исследовательской работы, где автор раскрывает суть исследуемой проблемы; приводит различные точки зрения, а также собственные взгляды на нее. Этапы работы над докладом (рефератом) : </w:t>
      </w:r>
    </w:p>
    <w:p w14:paraId="495D9DFD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подбор и изучение основных источников по теме (как и при написании реферата рекомендуется использовать не менее 8 — 10 источников); </w:t>
      </w:r>
    </w:p>
    <w:p w14:paraId="2782BCD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составление библиографии; - обработка и систематизация материала. Подготовка выводов и обобщений; </w:t>
      </w:r>
    </w:p>
    <w:p w14:paraId="5D944ED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разработка плана доклада; - написание; </w:t>
      </w:r>
    </w:p>
    <w:p w14:paraId="1DA15EC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- публичное выступление с результатами исследования. Общая</w:t>
      </w:r>
      <w:r>
        <w:rPr>
          <w:rFonts w:ascii="Times New Roman" w:hAnsi="Times New Roman" w:cs="Times New Roman"/>
          <w:sz w:val="24"/>
          <w:szCs w:val="24"/>
        </w:rPr>
        <w:t xml:space="preserve"> структура доклада (реферата): </w:t>
      </w:r>
    </w:p>
    <w:p w14:paraId="52BED05D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цель работы (в общих чертах соответствует формулировке темы исследования и может уточнять ее); </w:t>
      </w:r>
    </w:p>
    <w:p w14:paraId="7D4C5D3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актуальность исследования; - методика проведения исследования (подробное описание всех действий, связанных с получением результатов); </w:t>
      </w:r>
    </w:p>
    <w:p w14:paraId="75A11A9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выводы исследования. </w:t>
      </w:r>
    </w:p>
    <w:p w14:paraId="4085E667" w14:textId="77777777" w:rsidR="009749B6" w:rsidRDefault="009749B6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-общий объем работы должен быть не менее 10-12</w:t>
      </w:r>
      <w:r w:rsidRPr="0097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</w:t>
      </w:r>
      <w:r w:rsidR="00C560FA">
        <w:rPr>
          <w:rFonts w:ascii="Times New Roman" w:hAnsi="Times New Roman" w:cs="Times New Roman"/>
          <w:sz w:val="24"/>
          <w:szCs w:val="24"/>
        </w:rPr>
        <w:t xml:space="preserve"> с  одинарным интервалом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E4C54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оформлению письменного доклада (реферата) : </w:t>
      </w:r>
    </w:p>
    <w:p w14:paraId="4270EFB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титульный лист; </w:t>
      </w:r>
    </w:p>
    <w:p w14:paraId="01A80417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содержание (в нем последовательно указываются названия пунктов доклада (реферата), указываются страницы, с которых начинается каждый пункт); </w:t>
      </w:r>
    </w:p>
    <w:p w14:paraId="25B18EF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введение (формулируется суть исследуемой проблемы, обосновывается выбор темы, определяются ее значимость и актуальность, указываются цель и задачи доклада (реферата), дается характеристика используемой литературы); </w:t>
      </w:r>
    </w:p>
    <w:p w14:paraId="27C684C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основная часть (каждый раздел ее доказательно раскрывает исследуемый вопрос); - выводы и заключение (подводятся итоги или делается обобщенный вывод по теме доклада (реферата)); </w:t>
      </w:r>
    </w:p>
    <w:p w14:paraId="05E1A779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- литература. </w:t>
      </w:r>
    </w:p>
    <w:p w14:paraId="3CE27382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lastRenderedPageBreak/>
        <w:t>Доклад (реферат) оформляется на одной стороне листа белой бумаги формата А 4 (210х297 мм). Интервал межстрочный - полуторный. Цвет шрифта - черный. Гарнитура шрифта основного текста — «Times New Roman» или аналогичная. Кегль (размер) от 12 до 14 пунктов. Размеры полей страницы (не менее): правое — 10 мм, верхнее – 15 мм, нижнее – 20 мм, левое — 25 мм. Формат абзаца: полное выравнивание («по ширине»). Отступ красной строки одинаковый по всему тексту – 15 мм. Страницы должны быть пронумеров</w:t>
      </w:r>
      <w:r>
        <w:rPr>
          <w:rFonts w:ascii="Times New Roman" w:hAnsi="Times New Roman" w:cs="Times New Roman"/>
          <w:sz w:val="24"/>
          <w:szCs w:val="24"/>
        </w:rPr>
        <w:t>аны с учётом титульного листа (</w:t>
      </w:r>
      <w:r w:rsidRPr="003D0D2A">
        <w:rPr>
          <w:rFonts w:ascii="Times New Roman" w:hAnsi="Times New Roman" w:cs="Times New Roman"/>
          <w:sz w:val="24"/>
          <w:szCs w:val="24"/>
        </w:rPr>
        <w:t>на титульном листе номер страницы не ставится). В работах используются цитаты, статистические материалы. Эти данные оформляются в виде сносок (ссылок и примечаний).</w:t>
      </w:r>
    </w:p>
    <w:p w14:paraId="56761A4E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DBFCDA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Pr="003D0D2A">
        <w:rPr>
          <w:rFonts w:ascii="Times New Roman" w:hAnsi="Times New Roman" w:cs="Times New Roman"/>
          <w:b/>
          <w:sz w:val="24"/>
          <w:szCs w:val="24"/>
        </w:rPr>
        <w:t>.Методические указания по подготовке творческого домашнего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FFAD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C77E3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Творческое задание – задание, которое содержит больший или меньший элемент неизвестности и имеет, как правило, несколько подходов. 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высказывать свое отношение к описываемым явлениям и событиям; умение давать собственную оценку какой-либо работы и др. </w:t>
      </w:r>
    </w:p>
    <w:p w14:paraId="0142224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Выделяют следующие виды домашних творческих заданий: </w:t>
      </w:r>
    </w:p>
    <w:p w14:paraId="612ADCD5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I. Задания когнитивного типа </w:t>
      </w:r>
    </w:p>
    <w:p w14:paraId="4466B0B2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Научная проблема – решить реальную проблему, которая существует в науке. </w:t>
      </w:r>
    </w:p>
    <w:p w14:paraId="32956F6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Структура – нахождение, определение принципов построения различных структур. </w:t>
      </w:r>
    </w:p>
    <w:p w14:paraId="29DEF0D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Опыт – проведение опыта, эксперимента. </w:t>
      </w:r>
    </w:p>
    <w:p w14:paraId="68C9898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>4. Общее в разном – вычленение общего и отличного в разных системах.</w:t>
      </w:r>
    </w:p>
    <w:p w14:paraId="16AE90D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Разно-научное познание – одновременная работа с разными способами исследования одного и того же объекта. </w:t>
      </w:r>
    </w:p>
    <w:p w14:paraId="41F808F6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II. Задания креативного типа </w:t>
      </w:r>
    </w:p>
    <w:p w14:paraId="637C925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Составление – составить словарь, кроссворд, игру, викторину и т.д. </w:t>
      </w:r>
    </w:p>
    <w:p w14:paraId="3D061C2C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Изготовление – изготовить поделку, модель, макет, газету, журнал, видеофильм. </w:t>
      </w:r>
    </w:p>
    <w:p w14:paraId="2E73894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Учебное пособие – разработать свои учебные пособия. </w:t>
      </w:r>
    </w:p>
    <w:p w14:paraId="2166DCC3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0D2A">
        <w:rPr>
          <w:rFonts w:ascii="Times New Roman" w:hAnsi="Times New Roman" w:cs="Times New Roman"/>
          <w:b/>
          <w:sz w:val="24"/>
          <w:szCs w:val="24"/>
        </w:rPr>
        <w:t xml:space="preserve">III. Задания организационно-деятельностного типа </w:t>
      </w:r>
    </w:p>
    <w:p w14:paraId="022FE881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План – разработать план </w:t>
      </w:r>
      <w:r>
        <w:rPr>
          <w:rFonts w:ascii="Times New Roman" w:hAnsi="Times New Roman" w:cs="Times New Roman"/>
          <w:sz w:val="24"/>
          <w:szCs w:val="24"/>
        </w:rPr>
        <w:t>индивидуальной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творческой работы, составить индивидуальную программу занятий по дисциплине. </w:t>
      </w:r>
    </w:p>
    <w:p w14:paraId="02F7512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Выступление – составить </w:t>
      </w:r>
      <w:r>
        <w:rPr>
          <w:rFonts w:ascii="Times New Roman" w:hAnsi="Times New Roman" w:cs="Times New Roman"/>
          <w:sz w:val="24"/>
          <w:szCs w:val="24"/>
        </w:rPr>
        <w:t>доклад по выбранной теме.</w:t>
      </w:r>
    </w:p>
    <w:p w14:paraId="64F189D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Рефлексия – осознать свою деятельность (речь, письмо, чтение, вычисления, размышления) на протяжении определенного отрезка времени. Вывести правила и закономерности этой деятельности. </w:t>
      </w:r>
    </w:p>
    <w:p w14:paraId="21427FFB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Оценка – написать рецензию на текст, фильм, работу другого студента, подготовить самооценку (качественную характеристику) своей работы по определенной теме за определенный период. </w:t>
      </w:r>
    </w:p>
    <w:p w14:paraId="0F3481D3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Примерный список тем </w:t>
      </w:r>
      <w:r>
        <w:rPr>
          <w:rFonts w:ascii="Times New Roman" w:hAnsi="Times New Roman" w:cs="Times New Roman"/>
          <w:sz w:val="24"/>
          <w:szCs w:val="24"/>
        </w:rPr>
        <w:t>индивидуального</w:t>
      </w:r>
      <w:r w:rsidRPr="003D0D2A">
        <w:rPr>
          <w:rFonts w:ascii="Times New Roman" w:hAnsi="Times New Roman" w:cs="Times New Roman"/>
          <w:sz w:val="24"/>
          <w:szCs w:val="24"/>
        </w:rPr>
        <w:t xml:space="preserve"> творческого задания представлен в </w:t>
      </w:r>
      <w:r>
        <w:rPr>
          <w:rFonts w:ascii="Times New Roman" w:hAnsi="Times New Roman" w:cs="Times New Roman"/>
          <w:sz w:val="24"/>
          <w:szCs w:val="24"/>
        </w:rPr>
        <w:t>ФОС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 При этом творческое задание по дисциплине «</w:t>
      </w:r>
      <w:r>
        <w:rPr>
          <w:rFonts w:ascii="Times New Roman" w:hAnsi="Times New Roman" w:cs="Times New Roman"/>
          <w:sz w:val="24"/>
          <w:szCs w:val="24"/>
        </w:rPr>
        <w:t>Экология</w:t>
      </w:r>
      <w:r w:rsidRPr="003D0D2A">
        <w:rPr>
          <w:rFonts w:ascii="Times New Roman" w:hAnsi="Times New Roman" w:cs="Times New Roman"/>
          <w:sz w:val="24"/>
          <w:szCs w:val="24"/>
        </w:rPr>
        <w:t>» должно содержать анализ эко</w:t>
      </w:r>
      <w:r>
        <w:rPr>
          <w:rFonts w:ascii="Times New Roman" w:hAnsi="Times New Roman" w:cs="Times New Roman"/>
          <w:sz w:val="24"/>
          <w:szCs w:val="24"/>
        </w:rPr>
        <w:t>логи</w:t>
      </w:r>
      <w:r w:rsidRPr="003D0D2A">
        <w:rPr>
          <w:rFonts w:ascii="Times New Roman" w:hAnsi="Times New Roman" w:cs="Times New Roman"/>
          <w:sz w:val="24"/>
          <w:szCs w:val="24"/>
        </w:rPr>
        <w:t>ческой ситуации по выбранной проблеме. Вычленить «рациональное зерно» помогут статистические, справочные и специализ</w:t>
      </w:r>
      <w:r>
        <w:rPr>
          <w:rFonts w:ascii="Times New Roman" w:hAnsi="Times New Roman" w:cs="Times New Roman"/>
          <w:sz w:val="24"/>
          <w:szCs w:val="24"/>
        </w:rPr>
        <w:t xml:space="preserve">ированные источники информации. </w:t>
      </w:r>
      <w:r w:rsidRPr="003D0D2A">
        <w:rPr>
          <w:rFonts w:ascii="Times New Roman" w:hAnsi="Times New Roman" w:cs="Times New Roman"/>
          <w:sz w:val="24"/>
          <w:szCs w:val="24"/>
        </w:rPr>
        <w:t xml:space="preserve">Требования к написанию и оформлению творческого домашнего задания: Работа выполняется на компьютере (гарнитура Times </w:t>
      </w:r>
      <w:r w:rsidRPr="003D0D2A">
        <w:rPr>
          <w:rFonts w:ascii="Times New Roman" w:hAnsi="Times New Roman" w:cs="Times New Roman"/>
          <w:sz w:val="24"/>
          <w:szCs w:val="24"/>
        </w:rPr>
        <w:lastRenderedPageBreak/>
        <w:t xml:space="preserve">New Roman, шрифт 14) через 1,5 интервала с полями: верхнее, нижнее – 2; правое – 3; левое – 1,5. Отступ первой строки абзаца – 1,25. Сноски – постраничные. Должна быть нумерация страниц. Таблицы и рисунки встраиваются в текст работы. Объем работы, без учета приложений, не более 10 страниц.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</w:t>
      </w:r>
    </w:p>
    <w:p w14:paraId="6C65339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Оформление творческого задания </w:t>
      </w:r>
    </w:p>
    <w:p w14:paraId="017A4EE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1. Титульный лист. </w:t>
      </w:r>
    </w:p>
    <w:p w14:paraId="4C31BC6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2. Форма задания. </w:t>
      </w:r>
    </w:p>
    <w:p w14:paraId="2B147B28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3. Пояснительная записка. </w:t>
      </w:r>
    </w:p>
    <w:p w14:paraId="4BC56906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4. Содержательная часть творческого домашнего задания. </w:t>
      </w:r>
    </w:p>
    <w:p w14:paraId="6F5AED8F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5. Выводы. </w:t>
      </w:r>
    </w:p>
    <w:p w14:paraId="0E5873C0" w14:textId="77777777" w:rsidR="00586989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6. Список использованной литературы. </w:t>
      </w:r>
    </w:p>
    <w:p w14:paraId="725D3655" w14:textId="77777777" w:rsidR="00586989" w:rsidRPr="003D0D2A" w:rsidRDefault="00586989" w:rsidP="00586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D2A">
        <w:rPr>
          <w:rFonts w:ascii="Times New Roman" w:hAnsi="Times New Roman" w:cs="Times New Roman"/>
          <w:sz w:val="24"/>
          <w:szCs w:val="24"/>
        </w:rPr>
        <w:t xml:space="preserve">Титульный лист является первой страницей и заполняется по строго определенным правилам. В </w:t>
      </w:r>
      <w:r>
        <w:rPr>
          <w:rFonts w:ascii="Times New Roman" w:hAnsi="Times New Roman" w:cs="Times New Roman"/>
          <w:sz w:val="24"/>
          <w:szCs w:val="24"/>
        </w:rPr>
        <w:t>рамках задания</w:t>
      </w:r>
      <w:r w:rsidRPr="003D0D2A">
        <w:rPr>
          <w:rFonts w:ascii="Times New Roman" w:hAnsi="Times New Roman" w:cs="Times New Roman"/>
          <w:sz w:val="24"/>
          <w:szCs w:val="24"/>
        </w:rPr>
        <w:t xml:space="preserve"> дается обоснование </w:t>
      </w:r>
      <w:r>
        <w:rPr>
          <w:rFonts w:ascii="Times New Roman" w:hAnsi="Times New Roman" w:cs="Times New Roman"/>
          <w:sz w:val="24"/>
          <w:szCs w:val="24"/>
        </w:rPr>
        <w:t>темы</w:t>
      </w:r>
      <w:r w:rsidRPr="003D0D2A">
        <w:rPr>
          <w:rFonts w:ascii="Times New Roman" w:hAnsi="Times New Roman" w:cs="Times New Roman"/>
          <w:sz w:val="24"/>
          <w:szCs w:val="24"/>
        </w:rPr>
        <w:t xml:space="preserve">, отражаются принципы и условия построения, цели и задачи. Указывается объект рассмотрения, приводится характеристика источников для написания работы и краткий обзор имеющейся по данной теме литературы. Проводится оценка своевременности и значимости выбранной темы. Содержательная часть домашнего творческого задания должна точно соответствовать теме работы и полностью ее раскрывать. Материал должен представляться сжато, логично и аргументировано. Заключительная часть предполагает последовательное, логически стройное изложение обобщенных выводов по рассматриваемой теме. Список использованной </w:t>
      </w:r>
      <w:r>
        <w:rPr>
          <w:rFonts w:ascii="Times New Roman" w:hAnsi="Times New Roman" w:cs="Times New Roman"/>
          <w:sz w:val="24"/>
          <w:szCs w:val="24"/>
        </w:rPr>
        <w:t>источников</w:t>
      </w:r>
      <w:r w:rsidRPr="003D0D2A">
        <w:rPr>
          <w:rFonts w:ascii="Times New Roman" w:hAnsi="Times New Roman" w:cs="Times New Roman"/>
          <w:sz w:val="24"/>
          <w:szCs w:val="24"/>
        </w:rPr>
        <w:t xml:space="preserve"> составляет одну из частей работы, отражающей самостоятельную творческую работу автора, позволяет судить о степени фундаментальности данной работы. В список должны быть включены только те источники, которые автор действительно изучил.</w:t>
      </w:r>
    </w:p>
    <w:p w14:paraId="7CFA53CF" w14:textId="77777777" w:rsidR="00586989" w:rsidRDefault="00586989" w:rsidP="00C323E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E32FF" w14:textId="77777777" w:rsidR="008302E2" w:rsidRDefault="00C11E9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Методические указания по </w:t>
      </w:r>
      <w:r w:rsidR="000E5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текущей и </w:t>
      </w:r>
      <w:r w:rsidR="008302E2" w:rsidRPr="008302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промежуточной аттестации </w:t>
      </w:r>
    </w:p>
    <w:p w14:paraId="60A731C8" w14:textId="77777777" w:rsidR="000E591A" w:rsidRDefault="000E591A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DBAF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14:paraId="3A6B8D59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учебном занятии студент знакомитс</w:t>
      </w:r>
      <w:r w:rsidR="00F1643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содержанием рабочей программы дисциплины (модуля), планируемыми результатами обучения по учебной дисциплине и процедурами их оценивания.</w:t>
      </w:r>
    </w:p>
    <w:p w14:paraId="4B1A587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текущего, рубежного контроля успеваемости и промежуточной аттестации студент имеют право использовать справочный материал, приведенный в рабочей программе и/или фонде оценочных средств по дисциплине.</w:t>
      </w:r>
    </w:p>
    <w:p w14:paraId="4CC08B7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текущего, рубежного контроля успеваемости и промежуточной аттестации студент имеет право на получение разъяснений допущенных им ошибок.</w:t>
      </w:r>
    </w:p>
    <w:p w14:paraId="11B45EC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Текущий контроль успеваемости</w:t>
      </w:r>
    </w:p>
    <w:p w14:paraId="4FA5CC3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текущего контроля успеваемости служит постоянное и индивидуальное оценивание хода освоения дисциплин студентами, их стимулирование к демонстрации своих учебных/научных достижений.</w:t>
      </w:r>
    </w:p>
    <w:p w14:paraId="2699445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в пределах аудиторного времени, отведённого на соответствующую учебную дисциплину.</w:t>
      </w:r>
    </w:p>
    <w:p w14:paraId="60DF5A9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включает фактическую оценку:</w:t>
      </w:r>
    </w:p>
    <w:p w14:paraId="73A3AB18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усвоения теоретического материала путем опроса студентов на учебных занятиях (в том числе лекционных);</w:t>
      </w:r>
    </w:p>
    <w:p w14:paraId="68E7C029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лабораторных и практических работ;</w:t>
      </w:r>
    </w:p>
    <w:p w14:paraId="1DC3DC42" w14:textId="77777777" w:rsidR="00497F1D" w:rsidRPr="00497F1D" w:rsidRDefault="00497F1D" w:rsidP="00C323E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самостоятельных учебных/научных работ и др.</w:t>
      </w:r>
    </w:p>
    <w:p w14:paraId="7DE59103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сложности и форма предъявления оценочных средств для текущего контроля успеваемости зафиксированы в рабочей программе </w:t>
      </w:r>
      <w:r w:rsidR="00586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ФОС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14:paraId="6AF9136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успеваемости предполагает реализацию следующих принципов оценивания:</w:t>
      </w:r>
    </w:p>
    <w:p w14:paraId="706A453C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полезности;</w:t>
      </w:r>
    </w:p>
    <w:p w14:paraId="37EF0183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целостности;</w:t>
      </w:r>
    </w:p>
    <w:p w14:paraId="6719DC06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адаптации;</w:t>
      </w:r>
    </w:p>
    <w:p w14:paraId="661ABF6C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эффективности;</w:t>
      </w:r>
    </w:p>
    <w:p w14:paraId="2B2E8BFF" w14:textId="77777777" w:rsidR="00497F1D" w:rsidRPr="00497F1D" w:rsidRDefault="00497F1D" w:rsidP="00C323E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своевременности (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менее одной оценки за три учебных занятия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3BD6F7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Составной частью текущего контроля успеваемости является контроль посещаемости студентом всех видов учебных занятий.</w:t>
      </w:r>
    </w:p>
    <w:p w14:paraId="056AA438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Рубежный контроль успеваемости</w:t>
      </w:r>
    </w:p>
    <w:p w14:paraId="672AA659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обучения.</w:t>
      </w:r>
    </w:p>
    <w:p w14:paraId="6A3C9266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Рубежный контроль проводится в рамках лекционных, практических или лабораторных часов, отведенных на изучение учебной дисциплины, или в дополнительное время по согласованию с учебно-методическим управлением.</w:t>
      </w:r>
    </w:p>
    <w:p w14:paraId="30C94CBD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14:paraId="3591C7E7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34AEA935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B9E2A40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6DC7A47A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1EFDC440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85E7C55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BD47B62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аттестован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118E226A" w14:textId="77777777" w:rsidR="00497F1D" w:rsidRPr="00033805" w:rsidRDefault="00497F1D" w:rsidP="00C323E1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4CAFEB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достижений.</w:t>
      </w:r>
    </w:p>
    <w:p w14:paraId="4A9BAEBE" w14:textId="77777777" w:rsidR="00497F1D" w:rsidRPr="00807D36" w:rsidRDefault="00497F1D" w:rsidP="00C323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каждом семестре проводятся два рубежных контроля успеваемости </w:t>
      </w:r>
      <w:r w:rsidRPr="00807D36">
        <w:rPr>
          <w:rFonts w:ascii="Times New Roman" w:hAnsi="Times New Roman" w:cs="Times New Roman"/>
          <w:sz w:val="24"/>
          <w:szCs w:val="24"/>
        </w:rPr>
        <w:t>на восьмой и четырнадцатой учебной неделе.</w:t>
      </w:r>
    </w:p>
    <w:p w14:paraId="518B8231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Студенты, получившие оценки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аттестован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 факту предоставления письменного объяснения причины/причин проходят рубежный контроль успеваемости в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дополнительные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сроки, </w:t>
      </w:r>
      <w:r w:rsidR="00807D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графиком консультаций.</w:t>
      </w:r>
    </w:p>
    <w:p w14:paraId="700E837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</w:t>
      </w:r>
    </w:p>
    <w:p w14:paraId="77D65B1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промежуточной аттестации является оценка качества освоения студентами образовательных программ, в том числе отдельной части или всего объема учебного предмета, курса, дисциплины (модуля) по итогам семестра и завершению отдельных этапов обучения.</w:t>
      </w:r>
    </w:p>
    <w:p w14:paraId="7572ADDE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формах, определенных учебным планом, в строгом соответствии с утвержденн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программой дисциплины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85165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в форме:</w:t>
      </w:r>
    </w:p>
    <w:p w14:paraId="4BB792E0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экзамена или зачета по дисциплине;</w:t>
      </w:r>
    </w:p>
    <w:p w14:paraId="5C8A71D7" w14:textId="77777777" w:rsidR="00497F1D" w:rsidRPr="00497F1D" w:rsidRDefault="00497F1D" w:rsidP="00C323E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курсового проекта/работы (при его наличии).</w:t>
      </w:r>
    </w:p>
    <w:p w14:paraId="463E3679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промежуточной аттестации студенту выставляется оценка, которая может быть дифференцированной, отражающей степень освоения учебного материала и/или достижения научных результатов, либо недифференцированной, отражающей только факт прохождения аттестации.</w:t>
      </w:r>
    </w:p>
    <w:p w14:paraId="5BBC92F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проставляются в зачетную книжку студента и аттестационную ведомость.</w:t>
      </w:r>
    </w:p>
    <w:p w14:paraId="6C5F648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оценок успеваемости студента на промежуточной аттестации:</w:t>
      </w:r>
    </w:p>
    <w:p w14:paraId="22A145FF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отлично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20071A49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хорошо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B882368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40C33229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неудовлетворительно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1B681F85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зачтено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48DF5E1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незачет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551E73EE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неявка</w:t>
      </w: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14:paraId="0C525E56" w14:textId="77777777" w:rsidR="00497F1D" w:rsidRPr="00033805" w:rsidRDefault="00497F1D" w:rsidP="00C323E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8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338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 изучал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EF9B9CC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Основой для определения оценки служит уровень освоения студентами материала, предусмотренног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рабочей программой дисциплины.</w:t>
      </w:r>
    </w:p>
    <w:p w14:paraId="5D59958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Студент, не выполнивший минимальный объем учебной работы по дисциплине, не допускается дека</w:t>
      </w:r>
      <w:r w:rsid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натом факультета 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сдаче зачета или экзамена, а в аттестационной ведомости указывается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 допущен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0CB6F9B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неудовлетворительно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или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незачет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зачетную книжку не проставляются.</w:t>
      </w:r>
    </w:p>
    <w:p w14:paraId="2785734A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студента на экзамене или зачете педагогический работник проставляет «</w:t>
      </w:r>
      <w:r w:rsidRPr="00497F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неявка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5A49987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Зачеты сдаются в последнюю неделю семестра в часы практических занятий, лабораторных работ и консультаций или в свободную от занятий неделю семестра (зачетную), предусмотренную графиком учебного процесса.</w:t>
      </w:r>
    </w:p>
    <w:p w14:paraId="56A299FF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сдаются в периоды экзаменационных сессий в соответствии с учебными планами и графиками учебного процесса.</w:t>
      </w:r>
    </w:p>
    <w:p w14:paraId="36FAB031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дисциплинам, изучаемым в течение двух и более семестров, итоговой является оценка, полученная на последнем экзамене.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семестрах.</w:t>
      </w:r>
    </w:p>
    <w:p w14:paraId="4A461880" w14:textId="77777777"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по результатам промежуточной аттестации должна учитывать результаты рубежного контроля успеваемости.</w:t>
      </w:r>
    </w:p>
    <w:p w14:paraId="7E26B206" w14:textId="77777777" w:rsidR="00497F1D" w:rsidRPr="000E591A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9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Экзамены проводятся строго в соответствии с расписанием, составленным учебно-методическим управлением университета.</w:t>
      </w:r>
    </w:p>
    <w:p w14:paraId="2D8893FB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Расписание экзаменов доводится до сведения студентов не позднее чем за две недели до начала экзаменационной </w:t>
      </w:r>
      <w:r w:rsidR="00C32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сессии</w:t>
      </w: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A1CB23" w14:textId="77777777" w:rsidR="00497F1D" w:rsidRPr="00497F1D" w:rsidRDefault="00497F1D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F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может проводиться как в устной, так и в письменной форме.</w:t>
      </w:r>
    </w:p>
    <w:p w14:paraId="38FAFE71" w14:textId="77777777" w:rsidR="008302E2" w:rsidRDefault="008302E2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00114A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DA40E5C" w14:textId="77777777" w:rsidR="00566DB5" w:rsidRPr="00566DB5" w:rsidRDefault="00566DB5" w:rsidP="00C32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9C7CE64" w14:textId="77777777" w:rsidR="00E24724" w:rsidRDefault="00E24724" w:rsidP="00C323E1">
      <w:pPr>
        <w:spacing w:after="0"/>
        <w:ind w:firstLine="709"/>
        <w:jc w:val="both"/>
      </w:pPr>
    </w:p>
    <w:sectPr w:rsidR="00E24724" w:rsidSect="00C11E92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91615" w14:textId="77777777" w:rsidR="00951AF3" w:rsidRDefault="00951AF3" w:rsidP="004059F6">
      <w:pPr>
        <w:spacing w:after="0" w:line="240" w:lineRule="auto"/>
      </w:pPr>
      <w:r>
        <w:separator/>
      </w:r>
    </w:p>
  </w:endnote>
  <w:endnote w:type="continuationSeparator" w:id="0">
    <w:p w14:paraId="67300006" w14:textId="77777777" w:rsidR="00951AF3" w:rsidRDefault="00951AF3" w:rsidP="0040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405911"/>
      <w:docPartObj>
        <w:docPartGallery w:val="Page Numbers (Bottom of Page)"/>
        <w:docPartUnique/>
      </w:docPartObj>
    </w:sdtPr>
    <w:sdtEndPr/>
    <w:sdtContent>
      <w:p w14:paraId="3640B641" w14:textId="77777777" w:rsidR="00C11E92" w:rsidRDefault="00C11E9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37F">
          <w:rPr>
            <w:noProof/>
          </w:rPr>
          <w:t>1</w:t>
        </w:r>
        <w:r>
          <w:fldChar w:fldCharType="end"/>
        </w:r>
      </w:p>
    </w:sdtContent>
  </w:sdt>
  <w:p w14:paraId="6B9CB899" w14:textId="77777777" w:rsidR="00C11E92" w:rsidRDefault="00C11E9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5F269" w14:textId="77777777" w:rsidR="00951AF3" w:rsidRDefault="00951AF3" w:rsidP="004059F6">
      <w:pPr>
        <w:spacing w:after="0" w:line="240" w:lineRule="auto"/>
      </w:pPr>
      <w:r>
        <w:separator/>
      </w:r>
    </w:p>
  </w:footnote>
  <w:footnote w:type="continuationSeparator" w:id="0">
    <w:p w14:paraId="569E729E" w14:textId="77777777" w:rsidR="00951AF3" w:rsidRDefault="00951AF3" w:rsidP="0040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E1920"/>
    <w:multiLevelType w:val="multilevel"/>
    <w:tmpl w:val="50F0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DD7972"/>
    <w:multiLevelType w:val="multilevel"/>
    <w:tmpl w:val="A18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034D03"/>
    <w:multiLevelType w:val="multilevel"/>
    <w:tmpl w:val="4C827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AB36B6"/>
    <w:multiLevelType w:val="multilevel"/>
    <w:tmpl w:val="5B5EA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10C46"/>
    <w:multiLevelType w:val="multilevel"/>
    <w:tmpl w:val="13CE1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C4CD3"/>
    <w:multiLevelType w:val="multilevel"/>
    <w:tmpl w:val="EDCAE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CE15E4"/>
    <w:multiLevelType w:val="multilevel"/>
    <w:tmpl w:val="06DC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91298A"/>
    <w:multiLevelType w:val="multilevel"/>
    <w:tmpl w:val="9F24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DB5"/>
    <w:rsid w:val="000269BC"/>
    <w:rsid w:val="00033805"/>
    <w:rsid w:val="000B3434"/>
    <w:rsid w:val="000E591A"/>
    <w:rsid w:val="000F1DC8"/>
    <w:rsid w:val="002E6838"/>
    <w:rsid w:val="003001EC"/>
    <w:rsid w:val="003713FD"/>
    <w:rsid w:val="0039590E"/>
    <w:rsid w:val="003A5175"/>
    <w:rsid w:val="003B01F1"/>
    <w:rsid w:val="004059F6"/>
    <w:rsid w:val="00445F36"/>
    <w:rsid w:val="00480D29"/>
    <w:rsid w:val="00490E59"/>
    <w:rsid w:val="00497F1D"/>
    <w:rsid w:val="004D137F"/>
    <w:rsid w:val="0050273C"/>
    <w:rsid w:val="0050549F"/>
    <w:rsid w:val="00557A3F"/>
    <w:rsid w:val="00566DB5"/>
    <w:rsid w:val="00586989"/>
    <w:rsid w:val="00597F2B"/>
    <w:rsid w:val="0067335D"/>
    <w:rsid w:val="006B0FB3"/>
    <w:rsid w:val="006B78F7"/>
    <w:rsid w:val="00702E17"/>
    <w:rsid w:val="00711662"/>
    <w:rsid w:val="007B5F7B"/>
    <w:rsid w:val="007D280C"/>
    <w:rsid w:val="00807D36"/>
    <w:rsid w:val="00821842"/>
    <w:rsid w:val="008302E2"/>
    <w:rsid w:val="00951AF3"/>
    <w:rsid w:val="009709B4"/>
    <w:rsid w:val="009749B6"/>
    <w:rsid w:val="0099210E"/>
    <w:rsid w:val="009B44CE"/>
    <w:rsid w:val="009E4177"/>
    <w:rsid w:val="009E651B"/>
    <w:rsid w:val="00A05354"/>
    <w:rsid w:val="00A16E98"/>
    <w:rsid w:val="00A32BC0"/>
    <w:rsid w:val="00A40F1C"/>
    <w:rsid w:val="00A80F25"/>
    <w:rsid w:val="00AA03AA"/>
    <w:rsid w:val="00B44752"/>
    <w:rsid w:val="00BB53D1"/>
    <w:rsid w:val="00BD5202"/>
    <w:rsid w:val="00BD7522"/>
    <w:rsid w:val="00C11E92"/>
    <w:rsid w:val="00C323E1"/>
    <w:rsid w:val="00C37B27"/>
    <w:rsid w:val="00C560FA"/>
    <w:rsid w:val="00CE19FB"/>
    <w:rsid w:val="00DB4552"/>
    <w:rsid w:val="00DC45FA"/>
    <w:rsid w:val="00E24724"/>
    <w:rsid w:val="00E5450A"/>
    <w:rsid w:val="00E55CF7"/>
    <w:rsid w:val="00EA06AD"/>
    <w:rsid w:val="00EF12C6"/>
    <w:rsid w:val="00F1643F"/>
    <w:rsid w:val="00F8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C53C4"/>
  <w15:docId w15:val="{522B7549-1A36-4473-8540-3C8A8C5B9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5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F1D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59F6"/>
  </w:style>
  <w:style w:type="paragraph" w:styleId="a6">
    <w:name w:val="footer"/>
    <w:basedOn w:val="a"/>
    <w:link w:val="a7"/>
    <w:uiPriority w:val="99"/>
    <w:unhideWhenUsed/>
    <w:rsid w:val="0040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59F6"/>
  </w:style>
  <w:style w:type="paragraph" w:styleId="a8">
    <w:name w:val="No Spacing"/>
    <w:uiPriority w:val="1"/>
    <w:qFormat/>
    <w:rsid w:val="00702E17"/>
    <w:pPr>
      <w:spacing w:after="0" w:line="240" w:lineRule="auto"/>
    </w:pPr>
  </w:style>
  <w:style w:type="paragraph" w:customStyle="1" w:styleId="ReportHead">
    <w:name w:val="Report_Head"/>
    <w:basedOn w:val="a"/>
    <w:link w:val="ReportHead0"/>
    <w:rsid w:val="00A80F25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A80F25"/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Пользователь</cp:lastModifiedBy>
  <cp:revision>19</cp:revision>
  <dcterms:created xsi:type="dcterms:W3CDTF">2019-09-12T07:47:00Z</dcterms:created>
  <dcterms:modified xsi:type="dcterms:W3CDTF">2025-03-10T14:28:00Z</dcterms:modified>
</cp:coreProperties>
</file>