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5">
      <w:pPr>
        <w:pStyle w:val="Report_Head"/>
        <w:keepNext w:val="on"/>
        <w:rPr>
          <w:sz w:val="24"/>
        </w:rPr>
      </w:pPr>
      <w:r>
        <w:rPr>
          <w:sz w:val="24"/>
        </w:rPr>
        <w:t>Минобрнауки России</w:t>
      </w:r>
    </w:p>
    <w:p w14:paraId="00000006">
      <w:pPr>
        <w:pStyle w:val="Report_Head"/>
        <w:keepNext w:val="on"/>
        <w:rPr>
          <w:sz w:val="24"/>
        </w:rPr>
      </w:pPr>
    </w:p>
    <w:p w14:paraId="00000007">
      <w:pPr>
        <w:pStyle w:val="Report_Head"/>
        <w:keepNext w:val="on"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00000008">
      <w:pPr>
        <w:pStyle w:val="Report_Head"/>
        <w:keepNext w:val="on"/>
        <w:rPr>
          <w:sz w:val="24"/>
        </w:rPr>
      </w:pPr>
      <w:r>
        <w:rPr>
          <w:sz w:val="24"/>
        </w:rPr>
        <w:t>высшего образования</w:t>
      </w:r>
    </w:p>
    <w:p w14:paraId="00000009">
      <w:pPr>
        <w:pStyle w:val="Report_Head"/>
        <w:keepNext w:val="on"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0000000A">
      <w:pPr>
        <w:pStyle w:val="Report_Head"/>
        <w:keepNext w:val="on"/>
        <w:rPr>
          <w:sz w:val="24"/>
        </w:rPr>
      </w:pPr>
    </w:p>
    <w:p w14:paraId="0000000B">
      <w:pPr>
        <w:pStyle w:val="Report_Head"/>
        <w:keepNext w:val="on"/>
        <w:rPr>
          <w:sz w:val="24"/>
        </w:rPr>
      </w:pPr>
      <w:r>
        <w:rPr>
          <w:sz w:val="24"/>
        </w:rPr>
        <w:t>Кафедра общей и профессиональной педагогики</w:t>
      </w:r>
    </w:p>
    <w:p w14:paraId="0000000C">
      <w:pPr>
        <w:pStyle w:val="Report_Head"/>
        <w:keepNext w:val="on"/>
        <w:rPr>
          <w:sz w:val="24"/>
        </w:rPr>
      </w:pPr>
    </w:p>
    <w:p w14:paraId="0000000D">
      <w:pPr>
        <w:pStyle w:val="Report_Head"/>
        <w:keepNext w:val="on"/>
        <w:rPr>
          <w:sz w:val="24"/>
        </w:rPr>
      </w:pPr>
    </w:p>
    <w:p w14:paraId="0000000E">
      <w:pPr>
        <w:pStyle w:val="Report_Head"/>
        <w:keepNext w:val="on"/>
        <w:jc w:val="left"/>
        <w:rPr>
          <w:sz w:val="24"/>
        </w:rPr>
      </w:pPr>
    </w:p>
    <w:p w14:paraId="0000000F">
      <w:pPr>
        <w:pStyle w:val="Report_Head"/>
        <w:keepNext w:val="on"/>
        <w:jc w:val="left"/>
        <w:rPr>
          <w:sz w:val="24"/>
        </w:rPr>
      </w:pPr>
    </w:p>
    <w:p w14:paraId="00000010">
      <w:pPr>
        <w:pStyle w:val="Report_Head"/>
        <w:keepNext w:val="on"/>
        <w:jc w:val="left"/>
        <w:rPr>
          <w:sz w:val="24"/>
        </w:rPr>
      </w:pPr>
    </w:p>
    <w:p w14:paraId="00000011">
      <w:pPr>
        <w:pStyle w:val="Report_Head"/>
        <w:keepNext w:val="on"/>
        <w:jc w:val="left"/>
        <w:rPr>
          <w:sz w:val="24"/>
        </w:rPr>
      </w:pPr>
    </w:p>
    <w:p w14:paraId="00000012">
      <w:pPr>
        <w:pStyle w:val="Report_Head"/>
        <w:keepNext w:val="on"/>
        <w:jc w:val="left"/>
        <w:rPr>
          <w:sz w:val="24"/>
        </w:rPr>
      </w:pPr>
    </w:p>
    <w:p w14:paraId="00000013">
      <w:pPr>
        <w:pStyle w:val="Report_Head"/>
        <w:keepNext w:val="on"/>
        <w:jc w:val="left"/>
        <w:rPr>
          <w:sz w:val="24"/>
        </w:rPr>
      </w:pPr>
    </w:p>
    <w:p w14:paraId="00000014">
      <w:pPr>
        <w:pStyle w:val="Report_Head"/>
        <w:keepNext w:val="on"/>
        <w:rPr>
          <w:sz w:val="24"/>
        </w:rPr>
      </w:pPr>
    </w:p>
    <w:p w14:paraId="00000015">
      <w:pPr>
        <w:pStyle w:val="Report_Head"/>
        <w:keepNext w:val="on"/>
        <w:rPr>
          <w:sz w:val="24"/>
        </w:rPr>
      </w:pPr>
    </w:p>
    <w:p w14:paraId="00000016">
      <w:pPr>
        <w:pStyle w:val="Report_Head"/>
        <w:keepNext w:val="on"/>
        <w:spacing w:before="120"/>
        <w:rPr>
          <w:b/>
        </w:rPr>
      </w:pPr>
      <w:r>
        <w:rPr>
          <w:b/>
        </w:rPr>
        <w:t>МЕТОДИЧЕСКИЕ УКАЗАНИЯ</w:t>
      </w:r>
    </w:p>
    <w:p w14:paraId="00000017">
      <w:pPr>
        <w:pStyle w:val="Report_Head"/>
        <w:keepNext w:val="on"/>
        <w:spacing w:before="120"/>
        <w:rPr>
          <w:sz w:val="24"/>
        </w:rPr>
      </w:pPr>
      <w:r>
        <w:rPr>
          <w:sz w:val="24"/>
        </w:rPr>
        <w:t>ПО ОСВОЕНИЮ ДИСЦИПЛИНЫ</w:t>
      </w:r>
    </w:p>
    <w:p w14:paraId="00000018">
      <w:pPr>
        <w:pStyle w:val="Report_Head"/>
        <w:spacing w:before="120"/>
        <w:rPr>
          <w:rFonts w:hint="default"/>
          <w:i/>
          <w:sz w:val="24"/>
        </w:rPr>
      </w:pPr>
      <w:r>
        <w:rPr>
          <w:rFonts w:hint="default"/>
          <w:i/>
          <w:sz w:val="24"/>
        </w:rPr>
        <w:t>«Б1.Д.Б.27 Тайм-менеджме</w:t>
      </w:r>
      <w:r>
        <w:rPr>
          <w:rFonts w:hint="default"/>
          <w:i/>
          <w:sz w:val="24"/>
        </w:rPr>
        <w:t>нт»</w:t>
      </w:r>
    </w:p>
    <w:p w14:paraId="00000019">
      <w:pPr>
        <w:pStyle w:val="Report_Head"/>
        <w:rPr>
          <w:rFonts w:hint="default"/>
          <w:sz w:val="24"/>
        </w:rPr>
      </w:pPr>
    </w:p>
    <w:p w14:paraId="0000001A">
      <w:pPr>
        <w:pStyle w:val="Report_Head"/>
        <w:spacing w:line="360" w:lineRule="auto"/>
        <w:rPr>
          <w:rFonts w:hint="default"/>
          <w:sz w:val="24"/>
        </w:rPr>
      </w:pPr>
      <w:r>
        <w:rPr>
          <w:rFonts w:hint="default"/>
          <w:sz w:val="24"/>
        </w:rPr>
        <w:t>Уровень высшего образования</w:t>
      </w:r>
    </w:p>
    <w:p w14:paraId="0000001B">
      <w:pPr>
        <w:pStyle w:val="Report_Head"/>
        <w:spacing w:line="360" w:lineRule="auto"/>
        <w:rPr>
          <w:rFonts w:hint="default"/>
          <w:sz w:val="24"/>
        </w:rPr>
      </w:pPr>
      <w:r>
        <w:rPr>
          <w:rFonts w:hint="default"/>
          <w:sz w:val="24"/>
        </w:rPr>
        <w:t>СПЕЦИАЛИТЕТ</w:t>
      </w:r>
    </w:p>
    <w:p w14:paraId="0000001C">
      <w:pPr>
        <w:pStyle w:val="Report_Head"/>
        <w:rPr>
          <w:rFonts w:hint="default"/>
          <w:sz w:val="24"/>
        </w:rPr>
      </w:pPr>
      <w:r>
        <w:rPr>
          <w:rFonts w:hint="default"/>
          <w:sz w:val="24"/>
        </w:rPr>
        <w:t>Специальность</w:t>
      </w:r>
    </w:p>
    <w:p w14:paraId="0000001D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40.05.02 Правоохранительная деятельность</w:t>
      </w:r>
    </w:p>
    <w:p w14:paraId="0000001E">
      <w:pPr>
        <w:pStyle w:val="Report_Head"/>
        <w:rPr>
          <w:rFonts w:hint="default"/>
          <w:sz w:val="24"/>
          <w:vertAlign w:val="superscript"/>
        </w:rPr>
      </w:pPr>
      <w:r>
        <w:rPr>
          <w:rFonts w:hint="default"/>
          <w:sz w:val="24"/>
          <w:vertAlign w:val="superscript"/>
        </w:rPr>
        <w:t>(код и наименование специальности)</w:t>
      </w:r>
    </w:p>
    <w:p w14:paraId="0000001F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Административная деятельность полиции</w:t>
      </w:r>
    </w:p>
    <w:p w14:paraId="00000020">
      <w:pPr>
        <w:pStyle w:val="Report_Head"/>
        <w:rPr>
          <w:rFonts w:hint="default"/>
          <w:sz w:val="24"/>
          <w:vertAlign w:val="superscript"/>
        </w:rPr>
      </w:pPr>
      <w:r>
        <w:rPr>
          <w:rFonts w:hint="default"/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00000021">
      <w:pPr>
        <w:pStyle w:val="Report_Head"/>
        <w:rPr>
          <w:rFonts w:hint="default"/>
          <w:sz w:val="24"/>
        </w:rPr>
      </w:pPr>
    </w:p>
    <w:p w14:paraId="00000022">
      <w:pPr>
        <w:pStyle w:val="Report_Head"/>
        <w:rPr>
          <w:rFonts w:hint="default"/>
          <w:sz w:val="24"/>
        </w:rPr>
      </w:pPr>
      <w:r>
        <w:rPr>
          <w:rFonts w:hint="default"/>
          <w:sz w:val="24"/>
        </w:rPr>
        <w:t>К</w:t>
      </w:r>
      <w:r>
        <w:rPr>
          <w:rFonts w:hint="default"/>
          <w:sz w:val="24"/>
        </w:rPr>
        <w:t>валификация</w:t>
      </w:r>
    </w:p>
    <w:p w14:paraId="00000023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Юрист</w:t>
      </w:r>
    </w:p>
    <w:p w14:paraId="00000024">
      <w:pPr>
        <w:pStyle w:val="Report_Head"/>
        <w:spacing w:before="120"/>
        <w:rPr>
          <w:rFonts w:hint="default"/>
          <w:sz w:val="24"/>
        </w:rPr>
      </w:pPr>
      <w:r>
        <w:rPr>
          <w:rFonts w:hint="default"/>
          <w:sz w:val="24"/>
        </w:rPr>
        <w:t>Форма обучения</w:t>
      </w:r>
    </w:p>
    <w:p w14:paraId="00000025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Заочная</w:t>
      </w:r>
    </w:p>
    <w:p w14:paraId="00000026">
      <w:pPr>
        <w:pStyle w:val="Report_Head"/>
        <w:rPr>
          <w:i/>
          <w:sz w:val="24"/>
          <w:u w:val="single"/>
        </w:rPr>
      </w:pPr>
    </w:p>
    <w:p w14:paraId="00000027">
      <w:pPr>
        <w:jc w:val="center"/>
        <w:rPr>
          <w:rFonts w:eastAsiaTheme="minorHAnsi"/>
          <w:i/>
          <w:szCs w:val="22"/>
          <w:u w:val="single"/>
          <w:lang w:eastAsia="en-US"/>
        </w:rPr>
      </w:pPr>
    </w:p>
    <w:p w14:paraId="00000028">
      <w:pPr>
        <w:pStyle w:val="Report_Head"/>
        <w:widowControl w:val="off"/>
        <w:rPr>
          <w:i/>
          <w:sz w:val="24"/>
          <w:u w:val="single"/>
        </w:rPr>
      </w:pPr>
    </w:p>
    <w:p w14:paraId="00000029">
      <w:pPr>
        <w:pStyle w:val="Report_Head"/>
        <w:widowControl w:val="off"/>
        <w:rPr>
          <w:sz w:val="24"/>
        </w:rPr>
      </w:pPr>
    </w:p>
    <w:p w14:paraId="0000002A">
      <w:pPr>
        <w:pStyle w:val="Report_Head"/>
        <w:widowControl w:val="off"/>
        <w:rPr>
          <w:sz w:val="24"/>
        </w:rPr>
      </w:pPr>
    </w:p>
    <w:p w14:paraId="0000002B">
      <w:pPr>
        <w:pStyle w:val="Report_Head"/>
        <w:widowControl w:val="off"/>
        <w:rPr>
          <w:sz w:val="24"/>
        </w:rPr>
      </w:pPr>
    </w:p>
    <w:p w14:paraId="0000002C">
      <w:pPr>
        <w:pStyle w:val="Report_Head"/>
        <w:widowControl w:val="off"/>
        <w:rPr>
          <w:sz w:val="24"/>
        </w:rPr>
      </w:pPr>
    </w:p>
    <w:p w14:paraId="0000002D">
      <w:pPr>
        <w:pStyle w:val="Report_Head"/>
        <w:widowControl w:val="off"/>
        <w:rPr>
          <w:sz w:val="24"/>
        </w:rPr>
      </w:pPr>
    </w:p>
    <w:p w14:paraId="0000002E">
      <w:pPr>
        <w:pStyle w:val="Report_Head"/>
        <w:widowControl w:val="off"/>
        <w:rPr>
          <w:sz w:val="24"/>
        </w:rPr>
      </w:pPr>
    </w:p>
    <w:p w14:paraId="0000002F">
      <w:pPr>
        <w:pStyle w:val="Report_Head"/>
        <w:widowControl w:val="off"/>
        <w:rPr>
          <w:sz w:val="24"/>
        </w:rPr>
      </w:pPr>
    </w:p>
    <w:p w14:paraId="00000030">
      <w:pPr>
        <w:pStyle w:val="Report_Head"/>
        <w:widowControl w:val="off"/>
        <w:rPr>
          <w:sz w:val="24"/>
        </w:rPr>
      </w:pPr>
    </w:p>
    <w:p w14:paraId="00000031">
      <w:pPr>
        <w:pStyle w:val="Report_Head"/>
        <w:widowControl w:val="off"/>
        <w:rPr>
          <w:sz w:val="24"/>
        </w:rPr>
      </w:pPr>
    </w:p>
    <w:p w14:paraId="00000032">
      <w:pPr>
        <w:pStyle w:val="Report_Head"/>
        <w:widowControl w:val="off"/>
        <w:rPr>
          <w:sz w:val="24"/>
        </w:rPr>
      </w:pPr>
    </w:p>
    <w:p w14:paraId="00000033">
      <w:pPr>
        <w:pStyle w:val="Report_Head"/>
        <w:widowControl w:val="off"/>
        <w:rPr>
          <w:sz w:val="24"/>
        </w:rPr>
      </w:pPr>
    </w:p>
    <w:p w14:paraId="00000034">
      <w:pPr>
        <w:pStyle w:val="Report_Head"/>
        <w:widowControl w:val="off"/>
        <w:rPr>
          <w:sz w:val="24"/>
        </w:rPr>
      </w:pPr>
    </w:p>
    <w:p w14:paraId="00000035">
      <w:pPr>
        <w:pStyle w:val="Report_Head"/>
        <w:widowControl w:val="off"/>
        <w:rPr>
          <w:sz w:val="24"/>
        </w:rPr>
      </w:pPr>
    </w:p>
    <w:p w14:paraId="00000036">
      <w:pPr>
        <w:keepNext w:val="on"/>
        <w:jc w:val="center"/>
        <w:rPr>
          <w:rFonts w:eastAsia="Calibri"/>
          <w:szCs w:val="22"/>
          <w:lang w:eastAsia="en-US"/>
        </w:rPr>
        <w:sectPr>
          <w:footerReference w:type="default" r:id="rId11"/>
          <w:pgSz w:w="11906" w:h="16838"/>
          <w:pgMar w:top="510" w:right="567" w:bottom="510" w:left="850" w:header="0" w:footer="510" w:gutter="0"/>
          <w:cols w:space="708"/>
        </w:sectPr>
      </w:pPr>
      <w:r>
        <w:rPr/>
        <mc:AlternateContent>
          <mc:Choice Requires="wps">
            <w:drawing xmlns:mc="http://schemas.openxmlformats.org/markup-compatibility/2006">
              <wp:anchor allowOverlap="1" behindDoc="0" distT="0" distB="0" distL="114300" distR="114300" layoutInCell="1" locked="0" relativeHeight="251659264" simplePos="0">
                <wp:simplePos x="0" y="0"/>
                <wp:positionH relativeFrom="column">
                  <wp:posOffset>3141980</wp:posOffset>
                </wp:positionH>
                <wp:positionV relativeFrom="paragraph">
                  <wp:posOffset>664845</wp:posOffset>
                </wp:positionV>
                <wp:extent cx="266700" cy="161925"/>
                <wp:effectExtent l="0" t="0" r="25400" b="25400"/>
                <wp:wrapNone/>
                <wp:docPr id="4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40" name="Прямоугольник 1"/>
                      <wps:cNvSpPr/>
                      <wps:spPr>
                        <a:xfrm>
                          <a:off x="0" y="0"/>
                          <a:ext cx="266700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overflow" horzOverflow="overflow" vert="horz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71993EB9-5D80-8C73-B8C0CFD8F999" coordsize="21600,21600" style="position:absolute;width:21pt;height:12.75pt;margin-top:52.35pt;margin-left:247.4pt;mso-wrap-distance-left:9pt;mso-wrap-distance-right:9pt;mso-wrap-distance-top:0pt;mso-wrap-distance-bottom:0pt;rotation:0.000000;z-index:251659264;" fillcolor="#ffffff" strokecolor="#ffffff" strokeweight="2pt" o:spt="1" path="m0,0 l0,21600 r21600,0 l21600,0 x e">
                <v:stroke color="#ffffff" filltype="solid" joinstyle="round" linestyle="single" mitterlimit="800000" weight="2pt"/>
                <w10:wrap side="both"/>
                <v:fill type="solid" color="#ffffff" opacity="1.000000"/>
                <o:lock/>
              </v:shape>
            </w:pict>
          </mc:Fallback>
        </mc:AlternateContent>
      </w:r>
      <w:r>
        <w:t>Год набора 2024</w:t>
      </w:r>
    </w:p>
    <w:p w14:paraId="00000037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38">
      <w:pPr>
        <w:pStyle w:val="Report_Head"/>
        <w:keepNext w:val="on"/>
        <w:keepLines w:val="on"/>
        <w:jc w:val="both"/>
        <w:rPr>
          <w:sz w:val="24"/>
          <w:szCs w:val="24"/>
        </w:rPr>
      </w:pPr>
      <w:r>
        <w:rPr>
          <w:sz w:val="24"/>
          <w:szCs w:val="24"/>
        </w:rPr>
        <w:t>Составитель ______________________________ Е.А. Шагойко</w:t>
      </w:r>
    </w:p>
    <w:p w14:paraId="00000039">
      <w:pPr>
        <w:pStyle w:val="Report_Head"/>
        <w:keepNext w:val="on"/>
        <w:keepLines w:val="on"/>
        <w:jc w:val="both"/>
        <w:rPr>
          <w:sz w:val="24"/>
          <w:szCs w:val="24"/>
        </w:rPr>
      </w:pPr>
    </w:p>
    <w:p w14:paraId="0000003A">
      <w:pPr>
        <w:pStyle w:val="Report_Head"/>
        <w:keepNext w:val="on"/>
        <w:keepLines w:val="on"/>
        <w:jc w:val="both"/>
        <w:rPr>
          <w:sz w:val="24"/>
          <w:szCs w:val="24"/>
        </w:rPr>
      </w:pPr>
    </w:p>
    <w:p w14:paraId="0000003B">
      <w:pPr>
        <w:pStyle w:val="Report_Head"/>
        <w:keepNext w:val="on"/>
        <w:keepLines w:val="on"/>
        <w:jc w:val="both"/>
        <w:rPr>
          <w:sz w:val="24"/>
          <w:szCs w:val="24"/>
        </w:rPr>
      </w:pPr>
    </w:p>
    <w:p w14:paraId="0000003C">
      <w:pPr>
        <w:pStyle w:val="Report_Head"/>
        <w:keepNext w:val="on"/>
        <w:keepLines w:val="on"/>
        <w:jc w:val="both"/>
        <w:rPr>
          <w:sz w:val="24"/>
          <w:szCs w:val="24"/>
          <w:u w:val="single"/>
        </w:rPr>
      </w:pPr>
    </w:p>
    <w:p w14:paraId="0000003D">
      <w:pPr>
        <w:pStyle w:val="Report_Head"/>
        <w:keepNext w:val="on"/>
        <w:keepLines w:val="on"/>
        <w:ind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рассмотрены и одобрены на заседании кафедры </w:t>
      </w:r>
      <w:r>
        <w:rPr>
          <w:sz w:val="24"/>
          <w:szCs w:val="24"/>
          <w:u w:val="single"/>
        </w:rPr>
        <w:t>общей и профессиональной педагогики</w:t>
      </w:r>
    </w:p>
    <w:p w14:paraId="0000003E">
      <w:pPr>
        <w:pStyle w:val="Report_Head"/>
        <w:keepNext w:val="on"/>
        <w:keepLines w:val="on"/>
        <w:tabs>
          <w:tab w:val="left" w:pos="10148"/>
        </w:tabs>
        <w:jc w:val="both"/>
        <w:rPr>
          <w:i/>
          <w:sz w:val="24"/>
          <w:szCs w:val="24"/>
          <w:vertAlign w:val="superscript"/>
        </w:rPr>
      </w:pPr>
    </w:p>
    <w:p w14:paraId="0000003F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протокол № ________от "___" __________ 20__ г.</w:t>
      </w:r>
    </w:p>
    <w:p w14:paraId="00000040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</w:p>
    <w:p w14:paraId="00000041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</w:p>
    <w:p w14:paraId="00000042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  <w:r>
        <w:rPr>
          <w:sz w:val="24"/>
          <w:szCs w:val="24"/>
        </w:rPr>
        <w:t>Заведующий кафедрой</w:t>
      </w:r>
    </w:p>
    <w:p w14:paraId="00000043">
      <w:pPr>
        <w:pStyle w:val="Report_Head"/>
        <w:keepNext w:val="on"/>
        <w:keepLines w:val="on"/>
        <w:tabs>
          <w:tab w:val="center" w:pos="6378"/>
          <w:tab w:val="left" w:pos="10148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общей и профессиональной педагогики </w:t>
      </w:r>
      <w:r>
        <w:rPr>
          <w:sz w:val="24"/>
          <w:szCs w:val="24"/>
          <w:u w:val="single"/>
        </w:rPr>
        <w:tab/>
        <w:t xml:space="preserve">                                                         В.В. Неволина</w:t>
      </w:r>
    </w:p>
    <w:p w14:paraId="00000044">
      <w:pPr>
        <w:pStyle w:val="Report_Head"/>
        <w:keepNext w:val="on"/>
        <w:keepLines w:val="on"/>
        <w:tabs>
          <w:tab w:val="center" w:pos="6378"/>
          <w:tab w:val="left" w:pos="10148"/>
        </w:tabs>
        <w:jc w:val="both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 xml:space="preserve">         наименование кафедры                                                               </w:t>
      </w:r>
      <w:bookmarkStart w:id="0" w:name="_GoBack"/>
      <w:bookmarkEnd w:id="0"/>
      <w:r>
        <w:rPr>
          <w:i/>
          <w:sz w:val="24"/>
          <w:szCs w:val="24"/>
          <w:vertAlign w:val="superscript"/>
        </w:rPr>
        <w:t xml:space="preserve"> </w:t>
      </w:r>
      <w:r>
        <w:rPr>
          <w:i/>
          <w:sz w:val="24"/>
          <w:szCs w:val="24"/>
          <w:vertAlign w:val="superscript"/>
        </w:rPr>
        <w:t xml:space="preserve">          подпись                               </w:t>
      </w:r>
      <w:r>
        <w:rPr>
          <w:i/>
          <w:sz w:val="24"/>
          <w:szCs w:val="24"/>
          <w:vertAlign w:val="superscript"/>
        </w:rPr>
        <w:t xml:space="preserve">                   расшифровка подписи</w:t>
      </w:r>
    </w:p>
    <w:p w14:paraId="00000045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6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7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8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9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A">
      <w:pPr>
        <w:pStyle w:val="Report_Head"/>
        <w:keepNext w:val="on"/>
        <w:keepLines w:val="on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Методические указания являются приложением к рабочей программе по дисциплине </w:t>
      </w:r>
      <w:r>
        <w:rPr>
          <w:i/>
          <w:iCs/>
          <w:sz w:val="24"/>
          <w:szCs w:val="24"/>
        </w:rPr>
        <w:t>«Тайм-менеджмент»</w:t>
      </w:r>
      <w:r>
        <w:rPr>
          <w:sz w:val="24"/>
          <w:szCs w:val="24"/>
        </w:rPr>
        <w:t>, зарегистрированной в ЦИТ под учетным номером ___________</w:t>
      </w:r>
    </w:p>
    <w:p w14:paraId="0000004B">
      <w:pPr>
        <w:pStyle w:val="Report_Main"/>
        <w:keepNext w:val="on"/>
        <w:keepLines w:val="on"/>
        <w:widowControl w:val="off"/>
        <w:spacing w:after="360"/>
        <w:ind w:firstLine="709"/>
        <w:jc w:val="center"/>
        <w:rPr>
          <w:b/>
          <w:szCs w:val="24"/>
        </w:rPr>
      </w:pPr>
    </w:p>
    <w:p w14:paraId="0000004C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4D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4E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4F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0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1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2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3">
      <w:pPr>
        <w:keepNext w:val="on"/>
        <w:jc w:val="both"/>
        <w:rPr>
          <w:sz w:val="28"/>
          <w:szCs w:val="28"/>
        </w:rPr>
      </w:pPr>
    </w:p>
    <w:p w14:paraId="00000054">
      <w:pPr>
        <w:keepNext w:val="on"/>
        <w:jc w:val="both"/>
        <w:rPr>
          <w:sz w:val="28"/>
          <w:szCs w:val="28"/>
        </w:rPr>
      </w:pPr>
    </w:p>
    <w:p w14:paraId="00000055">
      <w:pPr>
        <w:keepNext w:val="on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 xmlns:mc="http://schemas.openxmlformats.org/markup-compatibility/2006">
              <wp:anchor allowOverlap="1" behindDoc="0" distT="0" distB="0" distL="114300" distR="114300" layoutInCell="1" locked="0" relativeHeight="251657728" simplePos="0">
                <wp:simplePos x="0" y="0"/>
                <wp:positionH relativeFrom="column">
                  <wp:posOffset>2806065</wp:posOffset>
                </wp:positionH>
                <wp:positionV relativeFrom="paragraph">
                  <wp:posOffset>770890</wp:posOffset>
                </wp:positionV>
                <wp:extent cx="361950" cy="171450"/>
                <wp:effectExtent l="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41" name="Text Box 3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619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 id="0">
                        <w:txbxContent>
                          <w:p w14:paraId="00000056"/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4EDE470E-0F9C-1FA1-7F4BF5D69446" coordsize="21600,21600" style="position:absolute;width:28.5pt;height:13.5pt;mso-width-percent:0;mso-width-relative:page;mso-height-percent:0;mso-height-relative:page;margin-top:60.7pt;margin-left:220.95pt;mso-wrap-distance-left:9pt;mso-wrap-distance-right:9pt;mso-wrap-distance-top:0pt;mso-wrap-distance-bottom:0pt;rotation:0.000000;z-index:251657728;" fillcolor="#ffffff" stroked="f" o:spt="1" path="m0,0 l0,21600 r21600,0 l21600,0 x e">
                <w10:wrap side="both"/>
                <v:fill type="solid" color="#ffffff" opacity="1.000000"/>
                <o:lock/>
              </v:shape>
            </w:pict>
          </mc:Fallback>
        </mc:AlternateContent>
      </w:r>
      <w:r>
        <w:rPr>
          <w:sz w:val="28"/>
          <w:szCs w:val="28"/>
        </w:rPr>
        <w:br w:type="page"/>
      </w:r>
    </w:p>
    <w:p w14:paraId="00000057">
      <w:pPr>
        <w:pStyle w:val="Report_Main"/>
        <w:keepNext w:val="on"/>
        <w:keepLines w:val="on"/>
        <w:widowControl w:val="off"/>
        <w:spacing w:after="360"/>
        <w:ind w:firstLine="709"/>
        <w:jc w:val="center"/>
        <w:rPr>
          <w:b/>
          <w:szCs w:val="24"/>
        </w:rPr>
      </w:pPr>
      <w:r>
        <w:rPr>
          <w:b/>
          <w:szCs w:val="24"/>
        </w:rPr>
        <w:t>Содержание</w:t>
      </w:r>
    </w:p>
    <w:tbl>
      <w:tblPr>
        <w:tblStyle w:val="TableGrid"/>
        <w:tblW w:w="0" w:type="auto"/>
        <w:jc w:val="center"/>
        <w:tblBorders>
          <w:top w:val="none" w:sz="4" w:space="0"/>
          <w:left w:val="none" w:sz="4" w:space="0"/>
          <w:bottom w:val="none" w:sz="4" w:space="0"/>
          <w:right w:val="none" w:sz="4" w:space="0"/>
          <w:insideH w:val="none" w:sz="4" w:space="0"/>
          <w:insideV w:val="none" w:sz="4" w:space="0"/>
        </w:tblBorders>
        <w:tblLook w:val="04A0"/>
      </w:tblPr>
      <w:tblGrid>
        <w:gridCol w:w="9747"/>
        <w:gridCol w:w="674"/>
      </w:tblGrid>
      <w:tr>
        <w:trPr>
          <w:jc w:val="center"/>
        </w:trPr>
        <w:tc>
          <w:tcPr>
            <w:cnfStyle w:val="101000000000"/>
            <w:tcW w:w="9747" w:type="dxa"/>
          </w:tcPr>
          <w:p w14:paraId="00000058">
            <w:pPr>
              <w:keepNext w:val="on"/>
              <w:keepLines w:val="on"/>
              <w:jc w:val="both"/>
              <w:rPr>
                <w:bCs/>
              </w:rPr>
            </w:pPr>
            <w:r>
              <w:rPr>
                <w:bCs/>
              </w:rPr>
              <w:t xml:space="preserve">1 Методические рекомендации по </w:t>
            </w:r>
            <w:r>
              <w:rPr>
                <w:bCs/>
              </w:rPr>
              <w:t>изучению дисциплины</w:t>
            </w:r>
          </w:p>
        </w:tc>
        <w:tc>
          <w:tcPr>
            <w:cnfStyle w:val="100000000000"/>
            <w:tcW w:w="674" w:type="dxa"/>
          </w:tcPr>
          <w:p w14:paraId="00000059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>
        <w:trPr>
          <w:jc w:val="center"/>
        </w:trPr>
        <w:tc>
          <w:tcPr>
            <w:cnfStyle w:val="001000100000"/>
            <w:tcW w:w="9747" w:type="dxa"/>
          </w:tcPr>
          <w:p w14:paraId="0000005A">
            <w:pPr>
              <w:keepNext w:val="on"/>
              <w:keepLines w:val="on"/>
              <w:jc w:val="both"/>
              <w:rPr>
                <w:bCs/>
              </w:rPr>
            </w:pPr>
            <w:r>
              <w:rPr>
                <w:bCs/>
              </w:rPr>
              <w:t>2 Методические указания по подготовке к лекционным занятиям</w:t>
            </w:r>
          </w:p>
        </w:tc>
        <w:tc>
          <w:tcPr>
            <w:cnfStyle w:val="000000100000"/>
            <w:tcW w:w="674" w:type="dxa"/>
          </w:tcPr>
          <w:p w14:paraId="0000005B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>
        <w:trPr>
          <w:jc w:val="center"/>
        </w:trPr>
        <w:tc>
          <w:tcPr>
            <w:cnfStyle w:val="001000010000"/>
            <w:tcW w:w="9747" w:type="dxa"/>
          </w:tcPr>
          <w:p w14:paraId="0000005C">
            <w:pPr>
              <w:keepNext w:val="on"/>
              <w:keepLines w:val="on"/>
              <w:rPr>
                <w:bCs/>
              </w:rPr>
            </w:pPr>
            <w:r>
              <w:rPr>
                <w:bCs/>
                <w:spacing w:val="7"/>
              </w:rPr>
              <w:t>3 Методические указания по выполнению тестовых заданий</w:t>
            </w:r>
          </w:p>
        </w:tc>
        <w:tc>
          <w:tcPr>
            <w:cnfStyle w:val="000000010000"/>
            <w:tcW w:w="674" w:type="dxa"/>
          </w:tcPr>
          <w:p w14:paraId="0000005D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>
        <w:trPr>
          <w:jc w:val="center"/>
        </w:trPr>
        <w:tc>
          <w:tcPr>
            <w:cnfStyle w:val="001000100000"/>
            <w:tcW w:w="9747" w:type="dxa"/>
          </w:tcPr>
          <w:p w14:paraId="0000005E">
            <w:pPr>
              <w:keepNext w:val="on"/>
              <w:keepLines w:val="on"/>
              <w:rPr>
                <w:bCs/>
              </w:rPr>
            </w:pPr>
            <w:r>
              <w:rPr>
                <w:bCs/>
                <w:spacing w:val="7"/>
              </w:rPr>
              <w:t>4 Методические указания к практическим занятиям и выполнению практических заданий</w:t>
            </w:r>
          </w:p>
        </w:tc>
        <w:tc>
          <w:tcPr>
            <w:cnfStyle w:val="000000100000"/>
            <w:tcW w:w="674" w:type="dxa"/>
          </w:tcPr>
          <w:p w14:paraId="0000005F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>
        <w:trPr>
          <w:jc w:val="center"/>
        </w:trPr>
        <w:tc>
          <w:tcPr>
            <w:cnfStyle w:val="001000010000"/>
            <w:tcW w:w="9747" w:type="dxa"/>
          </w:tcPr>
          <w:p w14:paraId="00000060">
            <w:pPr>
              <w:keepNext w:val="on"/>
              <w:keepLines w:val="on"/>
              <w:rPr>
                <w:bCs/>
                <w:spacing w:val="7"/>
              </w:rPr>
            </w:pPr>
            <w:r>
              <w:rPr>
                <w:bCs/>
              </w:rPr>
              <w:t xml:space="preserve">5 Методические указания по </w:t>
            </w:r>
            <w:r>
              <w:rPr>
                <w:bCs/>
              </w:rPr>
              <w:t>подготовке и защите реферата</w:t>
            </w:r>
          </w:p>
        </w:tc>
        <w:tc>
          <w:tcPr>
            <w:cnfStyle w:val="000000010000"/>
            <w:tcW w:w="674" w:type="dxa"/>
          </w:tcPr>
          <w:p w14:paraId="00000061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>
        <w:trPr>
          <w:jc w:val="center"/>
        </w:trPr>
        <w:tc>
          <w:tcPr>
            <w:cnfStyle w:val="001000100000"/>
            <w:tcW w:w="9747" w:type="dxa"/>
          </w:tcPr>
          <w:p w14:paraId="00000062">
            <w:pPr>
              <w:keepNext w:val="on"/>
              <w:keepLines w:val="on"/>
              <w:shd w:val="clear" w:color="auto" w:fill="ffffff"/>
              <w:jc w:val="both"/>
              <w:rPr>
                <w:rFonts w:ascii="Arial" w:cs="Arial" w:hAnsi="Arial"/>
                <w:bCs/>
              </w:rPr>
            </w:pPr>
            <w:r>
              <w:rPr>
                <w:bCs/>
              </w:rPr>
              <w:t>6 Методические указаниям по выполнению индивидуального творческого задания</w:t>
            </w:r>
          </w:p>
        </w:tc>
        <w:tc>
          <w:tcPr>
            <w:cnfStyle w:val="000000100000"/>
            <w:tcW w:w="674" w:type="dxa"/>
          </w:tcPr>
          <w:p w14:paraId="00000063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>
        <w:trPr>
          <w:jc w:val="center"/>
        </w:trPr>
        <w:tc>
          <w:tcPr>
            <w:cnfStyle w:val="001000010000"/>
            <w:tcW w:w="9747" w:type="dxa"/>
          </w:tcPr>
          <w:p w14:paraId="00000064">
            <w:pPr>
              <w:keepNext w:val="on"/>
              <w:keepLines w:val="on"/>
              <w:widowControl w:val="off"/>
              <w:jc w:val="both"/>
              <w:rPr>
                <w:bCs/>
              </w:rPr>
            </w:pPr>
            <w:r>
              <w:rPr>
                <w:bCs/>
              </w:rPr>
              <w:t xml:space="preserve">7 </w:t>
            </w:r>
            <w:r>
              <w:rPr>
                <w:color w:val="000000"/>
                <w:spacing w:val="7"/>
              </w:rPr>
              <w:t>Методические указания по подготовке к зачету</w:t>
            </w:r>
            <w:r>
              <w:rPr>
                <w:color w:val="000000"/>
                <w:spacing w:val="7"/>
              </w:rPr>
              <w:t xml:space="preserve"> </w:t>
            </w:r>
          </w:p>
        </w:tc>
        <w:tc>
          <w:tcPr>
            <w:cnfStyle w:val="000000010000"/>
            <w:tcW w:w="674" w:type="dxa"/>
          </w:tcPr>
          <w:p w14:paraId="00000065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</w:tbl>
    <w:p w14:paraId="00000066">
      <w:pPr>
        <w:keepNext w:val="on"/>
        <w:keepLines w:val="on"/>
        <w:ind w:firstLine="709"/>
        <w:jc w:val="both"/>
        <w:rPr>
          <w:b/>
          <w:bCs/>
        </w:rPr>
      </w:pPr>
      <w:r>
        <w:rPr>
          <w:b/>
          <w:bCs/>
        </w:rPr>
        <w:t>1 Методические рекомендации по изучению дисциплины</w:t>
      </w:r>
    </w:p>
    <w:p w14:paraId="00000067">
      <w:pPr>
        <w:keepNext w:val="on"/>
        <w:keepLines w:val="on"/>
        <w:ind w:firstLine="709"/>
        <w:jc w:val="both"/>
        <w:rPr>
          <w:b/>
        </w:rPr>
      </w:pPr>
    </w:p>
    <w:p w14:paraId="00000068">
      <w:pPr>
        <w:keepNext w:val="on"/>
        <w:keepLines w:val="on"/>
        <w:ind w:firstLine="709"/>
        <w:jc w:val="both"/>
        <w:rPr/>
      </w:pPr>
      <w:r>
        <w:t xml:space="preserve">Обучающимся необходимо ознакомиться с </w:t>
      </w:r>
      <w:r>
        <w:t>содержанием рабочей программы изучаемой дисциплины, с целями и задачами дисциплины, ее связями с другими дисциплинами образовательной программы, с основной и дополнительной литературой, в частности с методическими разработками по данной дисциплине, имеющим</w:t>
      </w:r>
      <w:r>
        <w:t xml:space="preserve">ся на образовательном портале LMS </w:t>
      </w:r>
      <w:r>
        <w:rPr>
          <w:lang w:val="en-US"/>
        </w:rPr>
        <w:t>MODLLE</w:t>
      </w:r>
      <w:r>
        <w:t xml:space="preserve">, с видами самостоятельной работы. </w:t>
      </w:r>
    </w:p>
    <w:p w14:paraId="00000069">
      <w:pPr>
        <w:keepNext w:val="on"/>
        <w:keepLines w:val="on"/>
        <w:ind w:firstLine="709"/>
        <w:jc w:val="both"/>
        <w:rPr/>
      </w:pPr>
      <w:r>
        <w:t>Для успешного усвоения теоретического материала необходимо регулярно посещать лекции, активно работать на практических занятиях, перечитывать лекционный материал, значительное вним</w:t>
      </w:r>
      <w:r>
        <w:t>ание уделять самостоятельному изучению дисциплины. Поэтому, важным условием успешного освоения дисциплины обучающимися является создание системы правильной организации труда, позволяющей распределить учебную нагрузку равномерно в соответствии с графиком об</w:t>
      </w:r>
      <w:r>
        <w:t xml:space="preserve">разовательного процесса. </w:t>
      </w:r>
    </w:p>
    <w:p w14:paraId="0000006A">
      <w:pPr>
        <w:keepNext w:val="on"/>
        <w:keepLines w:val="on"/>
        <w:ind w:firstLine="709"/>
        <w:jc w:val="both"/>
        <w:rPr/>
      </w:pPr>
      <w:r>
        <w:t>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С вечера всегда надо распределять рабо</w:t>
      </w:r>
      <w:r>
        <w:t xml:space="preserve">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отступлений, а если были, по какой причине они произошли. </w:t>
      </w:r>
    </w:p>
    <w:p w14:paraId="0000006B">
      <w:pPr>
        <w:keepNext w:val="on"/>
        <w:keepLines w:val="on"/>
        <w:ind w:firstLine="709"/>
        <w:jc w:val="both"/>
        <w:rPr/>
      </w:pPr>
      <w:r>
        <w:t>Важно осуществлять самоконтроль, кот</w:t>
      </w:r>
      <w:r>
        <w:t xml:space="preserve">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14:paraId="0000006C">
      <w:pPr>
        <w:keepNext w:val="on"/>
        <w:keepLines w:val="on"/>
        <w:ind w:firstLine="709"/>
        <w:jc w:val="both"/>
        <w:rPr>
          <w:b/>
        </w:rPr>
      </w:pPr>
      <w:r>
        <w:t>Все задания к практическим занятиям, а также задания, вынесенные на сам</w:t>
      </w:r>
      <w:r>
        <w:t>остоятельную работу, рекомендуется выполнять непосредственно после соответствующей темы лекционного курса. Это способствует лучшему усвоению материала, позволяет своевременно выявить и устранить «пробелы» в знаниях, систематизировать ранее пройденный матер</w:t>
      </w:r>
      <w:r>
        <w:t>иал, на его основе приступить к овладению новыми знаниями и навыками.</w:t>
      </w:r>
    </w:p>
    <w:p w14:paraId="0000006D">
      <w:pPr>
        <w:keepNext w:val="on"/>
        <w:keepLines w:val="on"/>
        <w:ind w:firstLine="709"/>
        <w:jc w:val="both"/>
        <w:rPr>
          <w:b/>
        </w:rPr>
      </w:pPr>
    </w:p>
    <w:p w14:paraId="0000006E">
      <w:pPr>
        <w:keepNext w:val="on"/>
        <w:keepLines w:val="on"/>
        <w:ind w:firstLine="709"/>
        <w:jc w:val="both"/>
        <w:rPr>
          <w:b/>
        </w:rPr>
      </w:pPr>
      <w:r>
        <w:rPr>
          <w:b/>
        </w:rPr>
        <w:t xml:space="preserve">2 </w:t>
      </w:r>
      <w:r>
        <w:rPr>
          <w:b/>
        </w:rPr>
        <w:t>Методические указания по подготовке к лекционным занятиям</w:t>
      </w:r>
    </w:p>
    <w:p w14:paraId="0000006F">
      <w:pPr>
        <w:keepNext w:val="on"/>
        <w:keepLines w:val="on"/>
        <w:ind w:firstLine="709"/>
        <w:jc w:val="both"/>
        <w:rPr>
          <w:bCs/>
        </w:rPr>
      </w:pPr>
    </w:p>
    <w:p w14:paraId="00000070">
      <w:pPr>
        <w:keepNext w:val="on"/>
        <w:keepLines w:val="on"/>
        <w:ind w:firstLine="709"/>
        <w:jc w:val="both"/>
        <w:rPr>
          <w:bCs/>
        </w:rPr>
      </w:pPr>
      <w:r>
        <w:t>Основными видами аудиторной работы обучающихся являются лекционные занятия. В ходе лекций преподаватель излагает и разъясняе</w:t>
      </w:r>
      <w:r>
        <w:t>т основные, наиболее сложные понятия темы, а также связанные с ней теоретические и практические проблемы, дает рекомендации на практические занятия, вместе с тем, четко формулирует и указания на самостоятельную работу.</w:t>
      </w:r>
    </w:p>
    <w:p w14:paraId="00000071">
      <w:pPr>
        <w:keepNext w:val="on"/>
        <w:keepLines w:val="on"/>
        <w:ind w:firstLine="709"/>
        <w:jc w:val="both"/>
        <w:rPr>
          <w:bCs/>
        </w:rPr>
      </w:pPr>
      <w:r>
        <w:t xml:space="preserve">В ходе лекционных занятий необходимо </w:t>
      </w:r>
      <w:r>
        <w:t>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 Знакомство с дисциплиной п</w:t>
      </w:r>
      <w:r>
        <w:t>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</w:t>
      </w:r>
      <w:r>
        <w:t>ыявляют взаимосвязи между явлениями, помогая студенту понять глубинные процессы развития изучаемого предмета как в историческом аспекте, так и в настоящее время.</w:t>
      </w:r>
      <w:r>
        <w:rPr>
          <w:bCs/>
        </w:rPr>
        <w:t xml:space="preserve"> В случае недопонимания какой-либо части предмета следует задать вопрос в установленном порядке</w:t>
      </w:r>
      <w:r>
        <w:rPr>
          <w:bCs/>
        </w:rPr>
        <w:t xml:space="preserve"> преподавателю. </w:t>
      </w:r>
    </w:p>
    <w:p w14:paraId="00000072">
      <w:pPr>
        <w:keepNext w:val="on"/>
        <w:keepLines w:val="on"/>
        <w:ind w:firstLine="709"/>
        <w:jc w:val="both"/>
        <w:rPr>
          <w:bCs/>
        </w:rPr>
      </w:pPr>
      <w:r>
        <w:t xml:space="preserve">Конспектирование лекций – сложный вид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обучающимся. Целесообразно </w:t>
      </w:r>
      <w:r>
        <w:t xml:space="preserve">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Работая над конспектом лекций, всегда необходимо использовать </w:t>
      </w:r>
      <w:r>
        <w:t>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теоретическими знаниями.</w:t>
      </w:r>
    </w:p>
    <w:p w14:paraId="00000073">
      <w:pPr>
        <w:keepNext w:val="on"/>
        <w:keepLines w:val="on"/>
        <w:ind w:firstLine="709"/>
        <w:jc w:val="both"/>
        <w:rPr>
          <w:bCs/>
        </w:rPr>
      </w:pPr>
      <w:r>
        <w:rPr>
          <w:bCs/>
        </w:rPr>
        <w:t>Непременным условием глубокого усвоения учебного материала является знание основ, на которых строится изложение материала. Обычно преподаватель напоминает, какой ранее изученный материал и в какой степени требуется подготовить к очередному занятию. Обращен</w:t>
      </w:r>
      <w:r>
        <w:rPr>
          <w:bCs/>
        </w:rPr>
        <w:t>ие к ранее изученному материалу не только помогает восстановить в памяти известные положения, выводы, но и приводит разрозненные знания в систему, углубляет и расширяет их. Каждый возврат к старому материалу позволяет найти в нем что-то новое, переосмыслит</w:t>
      </w:r>
      <w:r>
        <w:rPr>
          <w:bCs/>
        </w:rPr>
        <w:t xml:space="preserve">ь его с иных позиций, определить для него наиболее подходящее место в уже имеющейся системе знаний. Неоднократное обращение к пройденному материалу является наиболее рациональной формой приобретения и закрепления знаний.  </w:t>
      </w:r>
    </w:p>
    <w:p w14:paraId="00000074">
      <w:pPr>
        <w:pStyle w:val="Report_Main"/>
        <w:keepNext w:val="on"/>
        <w:keepLines w:val="on"/>
        <w:widowControl w:val="off"/>
        <w:ind w:firstLine="709"/>
        <w:jc w:val="both"/>
        <w:rPr>
          <w:b/>
          <w:szCs w:val="24"/>
        </w:rPr>
      </w:pPr>
    </w:p>
    <w:p w14:paraId="00000075">
      <w:pPr>
        <w:keepNext w:val="on"/>
        <w:keepLines w:val="on"/>
        <w:ind w:firstLine="709"/>
        <w:rPr>
          <w:b/>
        </w:rPr>
      </w:pPr>
      <w:r>
        <w:rPr>
          <w:b/>
          <w:color w:val="000000"/>
          <w:spacing w:val="7"/>
        </w:rPr>
        <w:t>3 Методические указания по выпол</w:t>
      </w:r>
      <w:r>
        <w:rPr>
          <w:b/>
          <w:color w:val="000000"/>
          <w:spacing w:val="7"/>
        </w:rPr>
        <w:t>нению тестовых заданий</w:t>
      </w:r>
    </w:p>
    <w:p w14:paraId="00000076">
      <w:pPr>
        <w:keepNext w:val="on"/>
        <w:keepLines w:val="on"/>
        <w:widowControl w:val="off"/>
        <w:ind w:firstLine="567"/>
        <w:jc w:val="both"/>
        <w:rPr>
          <w:b/>
          <w:color w:val="000000"/>
          <w:spacing w:val="7"/>
        </w:rPr>
      </w:pPr>
    </w:p>
    <w:p w14:paraId="00000077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14:paraId="00000078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Тесты и вопросники используются в учебном процессе и являются эффективным средством обучения. Тест</w:t>
      </w:r>
      <w:r>
        <w:rPr>
          <w:rFonts w:eastAsia="Calibri"/>
          <w:color w:val="000000"/>
        </w:rPr>
        <w:t>ирование позволяет путем поиска правильного ответа и разбора допущенных ошибок лучше усвоить тот или иной материал.</w:t>
      </w:r>
    </w:p>
    <w:p w14:paraId="00000079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Тестовые задания сгруппированы по темам учебной дисциплины. </w:t>
      </w:r>
    </w:p>
    <w:p w14:paraId="0000007A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Количество тестовых вопросов/заданий по каждой теме дисциплины определено так, </w:t>
      </w:r>
      <w:r>
        <w:rPr>
          <w:rFonts w:eastAsia="Calibri"/>
          <w:color w:val="000000"/>
        </w:rPr>
        <w:t>чтобы быть достаточным для оценки знаний обучающегося по всему пройденному материалу.</w:t>
      </w:r>
    </w:p>
    <w:p w14:paraId="0000007B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Тестовые задания рассчитаны на самостоятельную работу без использования вспомогательных материалов. То есть при их выполнении не следует пользоваться текстами законов, уч</w:t>
      </w:r>
      <w:r>
        <w:rPr>
          <w:rFonts w:eastAsia="Calibri"/>
          <w:color w:val="000000"/>
        </w:rPr>
        <w:t>ебниками, литературой и т.д.</w:t>
      </w:r>
    </w:p>
    <w:p w14:paraId="0000007C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</w:t>
      </w:r>
      <w:r>
        <w:rPr>
          <w:rFonts w:eastAsia="Calibri"/>
          <w:color w:val="000000"/>
        </w:rPr>
        <w:t>в качестве ответа следует выбрать лишь один индекс (цифровое обозначение), соответствующий правильному ответу. Тесты составлены таким образом, что в каждом из них правильным является лишь один из вариантов. Выбор должен быть сделан в пользу наиболее правил</w:t>
      </w:r>
      <w:r>
        <w:rPr>
          <w:rFonts w:eastAsia="Calibri"/>
          <w:color w:val="000000"/>
        </w:rPr>
        <w:t>ьного ответа.</w:t>
      </w:r>
    </w:p>
    <w:p w14:paraId="0000007D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Нередко в вопросе уже содержится смысловая подсказка, что правильным является только один ответ, поэтому при его нахождении продолжать дальнейшие поиски уже не требуется.</w:t>
      </w:r>
    </w:p>
    <w:p w14:paraId="0000007E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На выполнение теста отводится ограниченное время. Оно может варьировать</w:t>
      </w:r>
      <w:r>
        <w:rPr>
          <w:rFonts w:eastAsia="Calibri"/>
          <w:color w:val="000000"/>
        </w:rPr>
        <w:t>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</w:t>
      </w:r>
    </w:p>
    <w:p w14:paraId="0000007F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Алгоритм тестирования:</w:t>
      </w:r>
    </w:p>
    <w:p w14:paraId="00000080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 подписать бланк теста, указав ФИО, группу;</w:t>
      </w:r>
    </w:p>
    <w:p w14:paraId="00000081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внимательно прочит</w:t>
      </w:r>
      <w:r>
        <w:rPr>
          <w:rFonts w:eastAsia="Calibri"/>
          <w:color w:val="000000"/>
        </w:rPr>
        <w:t>ать задание и указания к выполнению работы, обратить   внимание на время, отводимое на выполнение заданий;</w:t>
      </w:r>
    </w:p>
    <w:p w14:paraId="00000082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отвечать на вопросы можно в любом порядке;</w:t>
      </w:r>
    </w:p>
    <w:p w14:paraId="00000083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– выбрать правильный вариант(ы) ответа из предлагаемого перечня;  </w:t>
      </w:r>
    </w:p>
    <w:p w14:paraId="00000084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в случае затруднения с выбором прав</w:t>
      </w:r>
      <w:r>
        <w:rPr>
          <w:rFonts w:eastAsia="Calibri"/>
          <w:color w:val="000000"/>
        </w:rPr>
        <w:t>ильного варианта ответа, необходимо методом исключения последовательно убирать оставшиеся варианты ответов, припоминая всё, что известно   по изученной теме о них;</w:t>
      </w:r>
    </w:p>
    <w:p w14:paraId="00000085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перед тем, как сдать работу преподавателю, необходимо внимательно еще раз проверить все от</w:t>
      </w:r>
      <w:r>
        <w:rPr>
          <w:rFonts w:eastAsia="Calibri"/>
          <w:color w:val="000000"/>
        </w:rPr>
        <w:t>веты.</w:t>
      </w:r>
    </w:p>
    <w:p w14:paraId="00000086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Критерии оценки выполненных обучающимися тестов определяются преподавателем самостоятельно.</w:t>
      </w:r>
    </w:p>
    <w:p w14:paraId="00000087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Рекомендуются следующие критерии оценки:</w:t>
      </w:r>
    </w:p>
    <w:p w14:paraId="00000088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85% – 100% правильных ответов – «отлично»;</w:t>
      </w:r>
    </w:p>
    <w:p w14:paraId="00000089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70% – 84% правильных ответов – «хорошо»;</w:t>
      </w:r>
    </w:p>
    <w:p w14:paraId="0000008A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50% – 69% правильных ответов – </w:t>
      </w:r>
      <w:r>
        <w:rPr>
          <w:rFonts w:eastAsia="Calibri"/>
          <w:color w:val="000000"/>
        </w:rPr>
        <w:t>«удовлетворительно»;</w:t>
      </w:r>
    </w:p>
    <w:p w14:paraId="0000008B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менее 50% правильных ответов – «неудовлетворительно».</w:t>
      </w:r>
    </w:p>
    <w:p w14:paraId="0000008C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При подведении итогов по выполненной работе рекомендуется проанализировать допущенные ошибки, прокомментировать имеющиеся в тестах неправильные ответы. </w:t>
      </w:r>
    </w:p>
    <w:p w14:paraId="0000008D">
      <w:pPr>
        <w:keepNext w:val="on"/>
        <w:keepLines w:val="on"/>
        <w:ind w:firstLine="709"/>
        <w:rPr>
          <w:b/>
        </w:rPr>
      </w:pPr>
      <w:r>
        <w:rPr>
          <w:b/>
          <w:color w:val="000000"/>
          <w:spacing w:val="7"/>
        </w:rPr>
        <w:t>4 Методические указания к пр</w:t>
      </w:r>
      <w:r>
        <w:rPr>
          <w:b/>
          <w:color w:val="000000"/>
          <w:spacing w:val="7"/>
        </w:rPr>
        <w:t>актическим занятиям и выполнению практических заданий</w:t>
      </w:r>
    </w:p>
    <w:p w14:paraId="0000008E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</w:p>
    <w:p w14:paraId="0000008F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  <w: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умений, навыков и защиты выдвигаемых положений, а также для кон</w:t>
      </w:r>
      <w:r>
        <w:t>троля преподавателем степени подготовленности студентов по изучаемой дисциплине.</w:t>
      </w:r>
    </w:p>
    <w:p w14:paraId="00000090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Практическое занятие – это занятие, проводимое под руководством преподавателя в учебной аудитории, направленное на углубление научно – теоретических знаний и овладение определ</w:t>
      </w:r>
      <w:r>
        <w:t>енными методами самостоятельной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</w:t>
      </w:r>
      <w:r>
        <w:t xml:space="preserve"> и на методику решения типовых задач. На практическом занятии главное – уяснить связь решаемых задач с теоретическими положениями.</w:t>
      </w:r>
    </w:p>
    <w:p w14:paraId="00000091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  <w:r>
        <w:t>Логическая связь лекций и практических занятий заключается в том, что информация, полученная на лекции, в процессе самостояте</w:t>
      </w:r>
      <w:r>
        <w:t>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14:paraId="00000092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Обучающимся следует при подготовке к практическим занятиям: </w:t>
      </w:r>
    </w:p>
    <w:p w14:paraId="00000093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– ознакомиться с темой и п</w:t>
      </w:r>
      <w:r>
        <w:t xml:space="preserve">ланом занятия, чтобы выяснить круг вопросов, которые будут обсуждаться на занятии; </w:t>
      </w:r>
    </w:p>
    <w:p w14:paraId="00000094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внимательно прочитать материал лекций, относящихся к данному семинарскому занятию, ознакомиться с учебным материалом по учебнику и учебным пособиям; </w:t>
      </w:r>
    </w:p>
    <w:p w14:paraId="00000095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выписать основные термины; </w:t>
      </w:r>
    </w:p>
    <w:p w14:paraId="00000096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ответить на контрольные вопросы по семинарским занятиям, готовиться дать развернутый ответ на каждый из вопросов; </w:t>
      </w:r>
    </w:p>
    <w:p w14:paraId="00000097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– уяснить, какие учебные элементы остались для вас неясными и постараться получить на них ответ заранее (до с</w:t>
      </w:r>
      <w:r>
        <w:t xml:space="preserve">еминарского занятия) во время текущих консультаций преподавателя; </w:t>
      </w:r>
    </w:p>
    <w:p w14:paraId="00000098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готовиться можно индивидуально, парами или в составе малой группы, последние являются эффективными формами работы; </w:t>
      </w:r>
    </w:p>
    <w:p w14:paraId="00000099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  <w:r>
        <w:t>– рабочая программа дисциплины в части целей, перечню знаний, умений, т</w:t>
      </w:r>
      <w:r>
        <w:t>ерминов и учебных вопросов может быть использована вами в качестве ориентира в организации обучения.</w:t>
      </w:r>
    </w:p>
    <w:p w14:paraId="0000009A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Качество учебной работы студентов преподаватель оценивает в конце семинара, выставляя в рабочий журнал текущие оценки. Обучающийся имеет право ознакомиться</w:t>
      </w:r>
      <w:r>
        <w:t xml:space="preserve"> с ними.</w:t>
      </w:r>
    </w:p>
    <w:p w14:paraId="0000009B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Обучающимся, пропустившим занятия (независимо от причин) или не подготовившимся к данному практическому занятию, рекомендуется не позже, чем в 2-недельный срок явиться на консультацию к преподавателю и отчитаться по теме, излучавшейся на занятии. </w:t>
      </w:r>
      <w:r>
        <w:t>Обучающиеся,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0000009C">
      <w:pPr>
        <w:pStyle w:val="Report_Main"/>
        <w:keepNext w:val="on"/>
        <w:keepLines w:val="on"/>
        <w:widowControl w:val="off"/>
        <w:ind w:firstLine="709"/>
        <w:jc w:val="both"/>
        <w:rPr>
          <w:szCs w:val="24"/>
        </w:rPr>
      </w:pPr>
      <w:r>
        <w:rPr>
          <w:b/>
          <w:bCs/>
        </w:rPr>
        <w:t>Практические задания</w:t>
      </w:r>
      <w:r>
        <w:t xml:space="preserve"> могут выполняться как индивидуально, так и небо</w:t>
      </w:r>
      <w:r>
        <w:t xml:space="preserve">льшими группами. </w:t>
      </w:r>
      <w:r>
        <w:rPr>
          <w:szCs w:val="24"/>
          <w:shd w:val="clear" w:color="auto" w:fill="ffffff"/>
        </w:rPr>
        <w:t>Перед выполнением обучающимися практической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</w:t>
      </w:r>
      <w:r>
        <w:rPr>
          <w:szCs w:val="24"/>
          <w:shd w:val="clear" w:color="auto" w:fill="ffffff"/>
        </w:rPr>
        <w:t>боты, критерии оценки. В процессе инструктажа преподаватель предупреждает обучающихся о возможных типичных ошибках, встречающихся при выполнении задания.</w:t>
      </w:r>
    </w:p>
    <w:p w14:paraId="0000009D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Для выполнения практического задания необходимо внимательно прочитать задание, повторить лекционный ма</w:t>
      </w:r>
      <w:r>
        <w:t>териал по соответствующей теме, изучить рекомендуемую литературу, в т.ч. дополнительную; если задание выдается по вариантам, то получить номер варианта исходных данных у преподавателя, либо подобрать исходные данные самостоятельно, используя различные исто</w:t>
      </w:r>
      <w:r>
        <w:t>чники информации. Практико-ориентированные задания направлены на получение навыков применения теоретических знаний для решения практических профессиональных задач. Выполнение таких заданий включает повторение изученного теоретического материала, постановку</w:t>
      </w:r>
      <w:r>
        <w:t xml:space="preserve"> задачи, выбор способа решения задачи, подбор исходной информации для её решения, разработку алгоритма практических действий, программы, рекомендаций, сценария и т.д.</w:t>
      </w:r>
    </w:p>
    <w:p w14:paraId="0000009E">
      <w:pPr>
        <w:pStyle w:val="Report_Main"/>
        <w:keepNext w:val="on"/>
        <w:keepLines w:val="on"/>
        <w:widowControl w:val="off"/>
        <w:ind w:firstLine="709"/>
        <w:jc w:val="both"/>
        <w:rPr>
          <w:b/>
          <w:bCs/>
        </w:rPr>
      </w:pPr>
      <w:r>
        <w:rPr>
          <w:b/>
          <w:bCs/>
        </w:rPr>
        <w:t xml:space="preserve">Методические указания к выполнению практических заданий и самостоятельной работы: </w:t>
      </w:r>
    </w:p>
    <w:p w14:paraId="0000009F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1. Вни</w:t>
      </w:r>
      <w:r>
        <w:t xml:space="preserve">мательно прочитайте теоретический материал по теме и продумайте ваши действия по выполнению задания. </w:t>
      </w:r>
    </w:p>
    <w:p w14:paraId="000000A0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2. Составьте план работы, выделяя главное. Используйте изречения великих ученых-мыслителей.  Каждое задание подкрепляйте аргументами и фактами. </w:t>
      </w:r>
    </w:p>
    <w:p w14:paraId="000000A1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3. Будьте</w:t>
      </w:r>
      <w:r>
        <w:t xml:space="preserve"> готовы отстаивать собственную точку зрения и ответить на вопросы однокурсников. </w:t>
      </w:r>
    </w:p>
    <w:p w14:paraId="000000A2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4. Оцените себя: достигли ли вы поставленной цели, а на занятии вас оценят другие (сокурсники, преподаватель).</w:t>
      </w:r>
    </w:p>
    <w:p w14:paraId="000000A3">
      <w:pPr>
        <w:keepNext w:val="on"/>
        <w:keepLines w:val="on"/>
        <w:widowControl w:val="off"/>
        <w:ind w:firstLine="709"/>
        <w:jc w:val="both"/>
        <w:rPr>
          <w:b/>
          <w:color w:val="000000"/>
          <w:spacing w:val="7"/>
        </w:rPr>
      </w:pPr>
    </w:p>
    <w:p w14:paraId="000000A4">
      <w:pPr>
        <w:pStyle w:val="Report_Main"/>
        <w:widowControl w:val="off"/>
        <w:ind w:firstLine="709"/>
        <w:jc w:val="both"/>
        <w:rPr>
          <w:b/>
        </w:rPr>
      </w:pPr>
      <w:r>
        <w:rPr>
          <w:b/>
          <w:szCs w:val="24"/>
        </w:rPr>
        <w:t>5 Методические указания по подготовке и защите реферата</w:t>
      </w:r>
    </w:p>
    <w:p w14:paraId="000000A5">
      <w:pPr>
        <w:pStyle w:val="Report_Main"/>
        <w:widowControl w:val="off"/>
        <w:ind w:firstLine="709"/>
        <w:jc w:val="both"/>
        <w:rPr/>
      </w:pPr>
    </w:p>
    <w:p w14:paraId="000000A6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Общие указания </w:t>
      </w:r>
    </w:p>
    <w:p w14:paraId="000000A7">
      <w:pPr>
        <w:pStyle w:val="Report_Main"/>
        <w:widowControl w:val="off"/>
        <w:ind w:firstLine="709"/>
        <w:jc w:val="both"/>
        <w:rPr/>
      </w:pPr>
      <w:r>
        <w:t xml:space="preserve">Реферат студента является одной из форм контроля учебного процесса. </w:t>
      </w:r>
    </w:p>
    <w:p w14:paraId="000000A8">
      <w:pPr>
        <w:pStyle w:val="Report_Main"/>
        <w:widowControl w:val="off"/>
        <w:ind w:firstLine="709"/>
        <w:jc w:val="both"/>
        <w:rPr/>
      </w:pPr>
      <w:r>
        <w:t xml:space="preserve">Его назначение - показать и доказать, что автор владеет научным материалом и может объяснять полученные научные данные. При этом студент должен проявить: </w:t>
      </w:r>
    </w:p>
    <w:p w14:paraId="000000A9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умение самосто</w:t>
      </w:r>
      <w:r>
        <w:t xml:space="preserve">ятельно собирать материал, анализировать его и делать выводы; </w:t>
      </w:r>
    </w:p>
    <w:p w14:paraId="000000AA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умение подбирать специальную литературу и другие источники, критически осмысливать их в сравнении с собственными данными; </w:t>
      </w:r>
    </w:p>
    <w:p w14:paraId="000000AB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умение прилежно и грамотно оформить свой труд. </w:t>
      </w:r>
    </w:p>
    <w:p w14:paraId="000000AC">
      <w:pPr>
        <w:pStyle w:val="Report_Main"/>
        <w:widowControl w:val="off"/>
        <w:ind w:firstLine="709"/>
        <w:jc w:val="both"/>
        <w:rPr/>
      </w:pPr>
      <w:r>
        <w:t>Реферат принимаетс</w:t>
      </w:r>
      <w:r>
        <w:t xml:space="preserve">я к рассмотрению, если в процессе ее выполнения студент учел и исполнил все предписания, касающиеся ее оформления и содержания. Материал следует располагать в следующей последовательности: </w:t>
      </w:r>
    </w:p>
    <w:p w14:paraId="000000AD">
      <w:pPr>
        <w:pStyle w:val="Report_Main"/>
        <w:widowControl w:val="off"/>
        <w:ind w:firstLine="709"/>
        <w:jc w:val="both"/>
        <w:rPr/>
      </w:pPr>
      <w:r>
        <w:t xml:space="preserve">– титульный лист; </w:t>
      </w:r>
    </w:p>
    <w:p w14:paraId="000000AE">
      <w:pPr>
        <w:pStyle w:val="Report_Main"/>
        <w:widowControl w:val="off"/>
        <w:ind w:firstLine="709"/>
        <w:jc w:val="both"/>
        <w:rPr/>
      </w:pPr>
      <w:r>
        <w:t xml:space="preserve">– содержание; </w:t>
      </w:r>
    </w:p>
    <w:p w14:paraId="000000AF">
      <w:pPr>
        <w:pStyle w:val="Report_Main"/>
        <w:widowControl w:val="off"/>
        <w:ind w:firstLine="709"/>
        <w:jc w:val="both"/>
        <w:rPr/>
      </w:pPr>
      <w:r>
        <w:t xml:space="preserve">– введение; </w:t>
      </w:r>
    </w:p>
    <w:p w14:paraId="000000B0">
      <w:pPr>
        <w:pStyle w:val="Report_Main"/>
        <w:widowControl w:val="off"/>
        <w:ind w:firstLine="709"/>
        <w:jc w:val="both"/>
        <w:rPr/>
      </w:pPr>
      <w:r>
        <w:t>– теоретическая час</w:t>
      </w:r>
      <w:r>
        <w:t xml:space="preserve">ть или основная часть; </w:t>
      </w:r>
    </w:p>
    <w:p w14:paraId="000000B1">
      <w:pPr>
        <w:pStyle w:val="Report_Main"/>
        <w:widowControl w:val="off"/>
        <w:ind w:firstLine="709"/>
        <w:jc w:val="both"/>
        <w:rPr/>
      </w:pPr>
      <w:r>
        <w:t xml:space="preserve">– практическая часть; </w:t>
      </w:r>
    </w:p>
    <w:p w14:paraId="000000B2">
      <w:pPr>
        <w:pStyle w:val="Report_Main"/>
        <w:widowControl w:val="off"/>
        <w:ind w:firstLine="709"/>
        <w:jc w:val="both"/>
        <w:rPr/>
      </w:pPr>
      <w:r>
        <w:t xml:space="preserve">– заключение; </w:t>
      </w:r>
    </w:p>
    <w:p w14:paraId="000000B3">
      <w:pPr>
        <w:pStyle w:val="Report_Main"/>
        <w:widowControl w:val="off"/>
        <w:ind w:firstLine="709"/>
        <w:jc w:val="both"/>
        <w:rPr/>
      </w:pPr>
      <w:r>
        <w:t xml:space="preserve">– список использованных источников; </w:t>
      </w:r>
    </w:p>
    <w:p w14:paraId="000000B4">
      <w:pPr>
        <w:pStyle w:val="Report_Main"/>
        <w:widowControl w:val="off"/>
        <w:ind w:firstLine="709"/>
        <w:jc w:val="both"/>
        <w:rPr/>
      </w:pPr>
      <w:r>
        <w:t xml:space="preserve">– практический (прикладной) материал, использованный в работе (в виде приложения, если он не дан по ходу изложения). </w:t>
      </w:r>
    </w:p>
    <w:p w14:paraId="000000B5">
      <w:pPr>
        <w:pStyle w:val="Report_Main"/>
        <w:widowControl w:val="off"/>
        <w:ind w:firstLine="709"/>
        <w:jc w:val="both"/>
        <w:rPr/>
      </w:pPr>
    </w:p>
    <w:p w14:paraId="000000B6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Подготовительный этап </w:t>
      </w:r>
    </w:p>
    <w:p w14:paraId="000000B7">
      <w:pPr>
        <w:pStyle w:val="Report_Main"/>
        <w:widowControl w:val="off"/>
        <w:ind w:firstLine="709"/>
        <w:jc w:val="both"/>
        <w:rPr/>
      </w:pPr>
      <w:r>
        <w:t>Выполнению рефе</w:t>
      </w:r>
      <w:r>
        <w:t xml:space="preserve">рата должна предшествовать тщательная подготовительная работа, которая включает следующие шаги: </w:t>
      </w:r>
    </w:p>
    <w:p w14:paraId="000000B8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предварительное знакомство с состоянием исследуемого вопроса (то есть изучение хотя бы одного источника по теме); </w:t>
      </w:r>
    </w:p>
    <w:p w14:paraId="000000B9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подбор и знакомство со специальной и доп</w:t>
      </w:r>
      <w:r>
        <w:t xml:space="preserve">олнительной литературой; </w:t>
      </w:r>
    </w:p>
    <w:p w14:paraId="000000BA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создание концепции работы по разрабатываемой теме на основе собственных данных, фактов и материалов;</w:t>
      </w:r>
    </w:p>
    <w:p w14:paraId="000000BB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критический анализ собственных и опубликованных данных; </w:t>
      </w:r>
    </w:p>
    <w:p w14:paraId="000000BC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формирование своей точки зрения по рассматриваемой проблеме; </w:t>
      </w:r>
    </w:p>
    <w:p w14:paraId="000000BD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формулирование выводов. </w:t>
      </w:r>
    </w:p>
    <w:p w14:paraId="000000BE">
      <w:pPr>
        <w:pStyle w:val="Report_Main"/>
        <w:widowControl w:val="off"/>
        <w:ind w:firstLine="709"/>
        <w:jc w:val="both"/>
        <w:rPr/>
      </w:pPr>
    </w:p>
    <w:p w14:paraId="000000BF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Работа над источниками </w:t>
      </w:r>
    </w:p>
    <w:p w14:paraId="000000C0">
      <w:pPr>
        <w:pStyle w:val="Report_Main"/>
        <w:widowControl w:val="off"/>
        <w:ind w:firstLine="709"/>
        <w:jc w:val="both"/>
        <w:rPr/>
      </w:pPr>
      <w:r>
        <w:t>Обязательной начальной стадией является подбор источников и их изучение. Основным требованием к работе является использование специальной литературы. Автор не ограничен в количестве привлекаемых источнико</w:t>
      </w:r>
      <w:r>
        <w:t xml:space="preserve">в, однако для написания успешной работы целесообразно использовать не менее трех - четырех научных изданий. </w:t>
      </w:r>
    </w:p>
    <w:p w14:paraId="000000C1">
      <w:pPr>
        <w:pStyle w:val="Report_Main"/>
        <w:widowControl w:val="off"/>
        <w:ind w:firstLine="709"/>
        <w:jc w:val="both"/>
        <w:rPr/>
      </w:pPr>
      <w:r>
        <w:t>Учебники и учебные пособия могут оказать помощь студенту в вопросах систематизации материала, но как основной, тем более единственный источник, исп</w:t>
      </w:r>
      <w:r>
        <w:t>ользоваться не могут. Дополнительная литература, используемая для написания работы, должна быть тщательно отобрана ав</w:t>
      </w:r>
      <w:r>
        <w:t xml:space="preserve">тором согласно тематике его работы и проанализирована, так как предполагается, что на ее основе автор делает самостоятельные выводы. </w:t>
      </w:r>
    </w:p>
    <w:p w14:paraId="000000C2">
      <w:pPr>
        <w:pStyle w:val="Report_Main"/>
        <w:widowControl w:val="off"/>
        <w:ind w:firstLine="709"/>
        <w:jc w:val="both"/>
        <w:rPr/>
      </w:pPr>
      <w:r>
        <w:t>Источ</w:t>
      </w:r>
      <w:r>
        <w:t>никами к работе могут быть книги, в том числе монографии, сборники статей, статьи в периодических изданиях (журналы, газеты, альманахи). Источниками по библиографии могут служить отечественные реферативные журналы (РЖ), отечественные и зарубежные профессио</w:t>
      </w:r>
      <w:r>
        <w:t xml:space="preserve">нальные журналы, авторефераты диссертаций, интернет-источники ОГУ. Можно использовать информацию из электронных источников, но с обязательной ссылкой на автора и издание. </w:t>
      </w:r>
    </w:p>
    <w:p w14:paraId="000000C3">
      <w:pPr>
        <w:pStyle w:val="Report_Main"/>
        <w:widowControl w:val="off"/>
        <w:ind w:firstLine="709"/>
        <w:jc w:val="both"/>
        <w:rPr/>
      </w:pPr>
    </w:p>
    <w:p w14:paraId="000000C4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Процесс написания реферата </w:t>
      </w:r>
    </w:p>
    <w:p w14:paraId="000000C5">
      <w:pPr>
        <w:pStyle w:val="Report_Main"/>
        <w:widowControl w:val="off"/>
        <w:ind w:firstLine="709"/>
        <w:jc w:val="both"/>
        <w:rPr/>
      </w:pPr>
      <w:r>
        <w:t>Изложение работы ведется по хорошо продуманному, заране</w:t>
      </w:r>
      <w:r>
        <w:t xml:space="preserve">е составленному плану. </w:t>
      </w:r>
    </w:p>
    <w:p w14:paraId="000000C6">
      <w:pPr>
        <w:pStyle w:val="Report_Main"/>
        <w:widowControl w:val="off"/>
        <w:ind w:firstLine="709"/>
        <w:jc w:val="both"/>
        <w:rPr/>
      </w:pPr>
      <w:r>
        <w:t xml:space="preserve">При изложении работы следует строго разграничивать мысли свои и заимствованные, уже известные. Для точности и корректности следует делать в работе ссылки на источники. </w:t>
      </w:r>
    </w:p>
    <w:p w14:paraId="000000C7">
      <w:pPr>
        <w:pStyle w:val="Report_Main"/>
        <w:widowControl w:val="off"/>
        <w:ind w:firstLine="709"/>
        <w:jc w:val="both"/>
        <w:rPr/>
      </w:pPr>
      <w:r>
        <w:rPr>
          <w:b/>
        </w:rPr>
        <w:t>План работы.</w:t>
      </w:r>
      <w:r>
        <w:t xml:space="preserve"> Составляется автором и зависит от особенностей каж</w:t>
      </w:r>
      <w:r>
        <w:t xml:space="preserve">дой темы и авторского взгляда не ее раскрытие. Тем не менее, следует придерживаться принятой в научной литературе последовательности изложения: </w:t>
      </w:r>
    </w:p>
    <w:p w14:paraId="000000C8">
      <w:pPr>
        <w:pStyle w:val="Report_Main"/>
        <w:widowControl w:val="off"/>
        <w:ind w:firstLine="709"/>
        <w:jc w:val="both"/>
        <w:rPr/>
      </w:pPr>
      <w:r>
        <w:rPr>
          <w:i/>
        </w:rPr>
        <w:t>Содержание работы.</w:t>
      </w:r>
      <w:r>
        <w:t xml:space="preserve"> По смыслу и стилю совпадает с планом и содержит постраничный указатель к каждой из частей ра</w:t>
      </w:r>
      <w:r>
        <w:t xml:space="preserve">боты. </w:t>
      </w:r>
    </w:p>
    <w:p w14:paraId="000000C9">
      <w:pPr>
        <w:pStyle w:val="Report_Main"/>
        <w:widowControl w:val="off"/>
        <w:ind w:firstLine="709"/>
        <w:jc w:val="both"/>
        <w:rPr/>
      </w:pPr>
      <w:r>
        <w:rPr>
          <w:i/>
        </w:rPr>
        <w:t>Введение.</w:t>
      </w:r>
      <w:r>
        <w:t xml:space="preserve"> Обосновывается выбор темы, раскрывается ее научно-практическая актуальность, четко формулируются цели и задачи, преследуемые автором в работе. Рекомендуемый объем введения – 1-2 страницы. </w:t>
      </w:r>
    </w:p>
    <w:p w14:paraId="000000CA">
      <w:pPr>
        <w:pStyle w:val="Report_Main"/>
        <w:widowControl w:val="off"/>
        <w:ind w:firstLine="709"/>
        <w:jc w:val="both"/>
        <w:rPr/>
      </w:pPr>
      <w:r>
        <w:rPr>
          <w:i/>
        </w:rPr>
        <w:t>Главы и разделы.</w:t>
      </w:r>
      <w:r>
        <w:t xml:space="preserve"> Приводится обзор источников, в то</w:t>
      </w:r>
      <w:r>
        <w:t>м числе нормативных. Характеристика взглядов различных авторов на освещаемую тему (история вопроса), характеристика предмета работы. Изложение собственных размышлений и умозаключений автора с попутным их анализом в сравнении с данными источников. Работа мо</w:t>
      </w:r>
      <w:r>
        <w:t>жет содержать 2 главы, общий рекомендуемый объем для этой части работы – 10-12 страниц.</w:t>
      </w:r>
    </w:p>
    <w:p w14:paraId="000000CB">
      <w:pPr>
        <w:pStyle w:val="Report_Main"/>
        <w:widowControl w:val="off"/>
        <w:ind w:firstLine="709"/>
        <w:jc w:val="both"/>
        <w:rPr/>
      </w:pPr>
      <w:r>
        <w:rPr>
          <w:i/>
        </w:rPr>
        <w:t>Заключение.</w:t>
      </w:r>
      <w:r>
        <w:t xml:space="preserve"> Заключение – это одна из форм подведения итогов работы, цельное обобщение труда, содержащее итоговые выводы. Заключение носит описательный характер. Однако </w:t>
      </w:r>
      <w:r>
        <w:t xml:space="preserve">автор может избрать такую форму подведения итогов, как Выводы. В Выводах в лаконичной форме отражаются итоговые соображения автора. Рекомендуемый объем – 1-2 страницы. </w:t>
      </w:r>
    </w:p>
    <w:p w14:paraId="000000CC">
      <w:pPr>
        <w:pStyle w:val="Report_Main"/>
        <w:widowControl w:val="off"/>
        <w:ind w:firstLine="709"/>
        <w:jc w:val="both"/>
        <w:rPr/>
      </w:pPr>
      <w:r>
        <w:rPr>
          <w:i/>
        </w:rPr>
        <w:t>Список использованных источников.</w:t>
      </w:r>
      <w:r>
        <w:t xml:space="preserve"> Необходимо помнить - это такая же важная часть работы</w:t>
      </w:r>
      <w:r>
        <w:t>, как и содержательная. Список использованных источников включает все работы, ссылки на которые автор приводит в тексте. Недопустимо включать в список работу, если на нее нет ссылок. Не разрешается включать в список работы, которые автор сам не читал, ссыл</w:t>
      </w:r>
      <w:r>
        <w:t xml:space="preserve">ки, заимствованные из чужих статей и монографий, могут содержать опечатки, неточности, искажение смысла. </w:t>
      </w:r>
    </w:p>
    <w:p w14:paraId="000000CD">
      <w:pPr>
        <w:pStyle w:val="Report_Main"/>
        <w:widowControl w:val="off"/>
        <w:ind w:firstLine="709"/>
        <w:jc w:val="both"/>
        <w:rPr/>
      </w:pPr>
      <w:r>
        <w:t xml:space="preserve">Работа может содержать </w:t>
      </w:r>
      <w:r>
        <w:rPr>
          <w:i/>
        </w:rPr>
        <w:t>таблицы и графики</w:t>
      </w:r>
      <w:r>
        <w:t xml:space="preserve">. Табличный и графический материалы не могут составлять более 5% от всего содержания работы. </w:t>
      </w:r>
    </w:p>
    <w:p w14:paraId="000000CE">
      <w:pPr>
        <w:pStyle w:val="Report_Main"/>
        <w:widowControl w:val="off"/>
        <w:ind w:firstLine="709"/>
        <w:jc w:val="both"/>
        <w:rPr/>
      </w:pPr>
      <w:r>
        <w:rPr>
          <w:i/>
        </w:rPr>
        <w:t>Приложения</w:t>
      </w:r>
      <w:r>
        <w:t xml:space="preserve"> к раб</w:t>
      </w:r>
      <w:r>
        <w:t>оте делаются в особо уместных случаях, когда необходимо показать протокольную часть авторской разработки темы. Работа может содержать приложения, поясняющие и иллюстрирующие творческий замысел автора (проекты договоров, проекты документов, анкеты, иллюстра</w:t>
      </w:r>
      <w:r>
        <w:t xml:space="preserve">ции и пр.). Приложения в объеме работы не учитываются. </w:t>
      </w:r>
    </w:p>
    <w:p w14:paraId="000000CF">
      <w:pPr>
        <w:pStyle w:val="Report_Main"/>
        <w:widowControl w:val="off"/>
        <w:ind w:firstLine="709"/>
        <w:jc w:val="both"/>
        <w:rPr/>
      </w:pPr>
    </w:p>
    <w:p w14:paraId="000000D0">
      <w:pPr>
        <w:pStyle w:val="Report_Main"/>
        <w:widowControl w:val="off"/>
        <w:ind w:firstLine="709"/>
        <w:jc w:val="both"/>
        <w:rPr/>
      </w:pPr>
      <w:r>
        <w:rPr>
          <w:b/>
        </w:rPr>
        <w:t>Критерии оценивания реферата</w:t>
      </w:r>
    </w:p>
    <w:p w14:paraId="000000D1">
      <w:pPr>
        <w:pStyle w:val="Report_Main"/>
        <w:widowControl w:val="off"/>
        <w:ind w:firstLine="709"/>
        <w:jc w:val="both"/>
        <w:rPr/>
      </w:pPr>
      <w:r>
        <w:t>Выполненная работа в обязательном порядке сдается студентом на регистрацию в деканат в установленные сроки. Работа регистрируется и передается ведущему преподавателю, есл</w:t>
      </w:r>
      <w:r>
        <w:t xml:space="preserve">и не предусмотрено иное. </w:t>
      </w:r>
    </w:p>
    <w:p w14:paraId="000000D2">
      <w:pPr>
        <w:pStyle w:val="Report_Main"/>
        <w:widowControl w:val="off"/>
        <w:ind w:firstLine="709"/>
        <w:jc w:val="both"/>
        <w:rPr/>
      </w:pPr>
      <w:r>
        <w:t xml:space="preserve">На проверку не принимаются работы: </w:t>
      </w:r>
    </w:p>
    <w:p w14:paraId="000000D3">
      <w:pPr>
        <w:pStyle w:val="Report_Main"/>
        <w:widowControl w:val="off"/>
        <w:ind w:firstLine="709"/>
        <w:jc w:val="both"/>
        <w:rPr/>
      </w:pPr>
      <w:r>
        <w:t xml:space="preserve">а) выполненные небрежно, неразборчивым почерком; </w:t>
      </w:r>
    </w:p>
    <w:p w14:paraId="000000D4">
      <w:pPr>
        <w:pStyle w:val="Report_Main"/>
        <w:widowControl w:val="off"/>
        <w:ind w:firstLine="709"/>
        <w:jc w:val="both"/>
        <w:rPr/>
      </w:pPr>
      <w:r>
        <w:t xml:space="preserve">б) выполненные не самостоятельно; </w:t>
      </w:r>
    </w:p>
    <w:p w14:paraId="000000D5">
      <w:pPr>
        <w:pStyle w:val="Report_Main"/>
        <w:widowControl w:val="off"/>
        <w:ind w:firstLine="709"/>
        <w:jc w:val="both"/>
        <w:rPr/>
      </w:pPr>
      <w:r>
        <w:t xml:space="preserve">в) содержание работы не соответствует выбранной теме и поставленным целям; </w:t>
      </w:r>
    </w:p>
    <w:p w14:paraId="000000D6">
      <w:pPr>
        <w:pStyle w:val="Report_Main"/>
        <w:widowControl w:val="off"/>
        <w:ind w:firstLine="709"/>
        <w:jc w:val="both"/>
        <w:rPr/>
      </w:pPr>
      <w:r>
        <w:t>г) выполненные не под своим номер</w:t>
      </w:r>
      <w:r>
        <w:t xml:space="preserve">ом; </w:t>
      </w:r>
    </w:p>
    <w:p w14:paraId="000000D7">
      <w:pPr>
        <w:pStyle w:val="Report_Main"/>
        <w:widowControl w:val="off"/>
        <w:ind w:firstLine="709"/>
        <w:jc w:val="both"/>
        <w:rPr/>
      </w:pPr>
      <w:r>
        <w:t xml:space="preserve">д) с неправильным оформлением титульного листа, в соответствии с требованием настоящих методических рекомендаций. </w:t>
      </w:r>
    </w:p>
    <w:p w14:paraId="000000D8">
      <w:pPr>
        <w:pStyle w:val="Report_Main"/>
        <w:widowControl w:val="off"/>
        <w:ind w:firstLine="709"/>
        <w:jc w:val="both"/>
        <w:rPr/>
      </w:pPr>
      <w:r>
        <w:t xml:space="preserve">Возвращенные на доработку работы студент обязан выполнить повторно в соответствии со своим вариантом по практической части и требованиями, предъявляемыми к рефератам, и вновь </w:t>
      </w:r>
      <w:r>
        <w:t xml:space="preserve">сдать в деканат. </w:t>
      </w:r>
    </w:p>
    <w:p w14:paraId="000000D9">
      <w:pPr>
        <w:pStyle w:val="Report_Main"/>
        <w:widowControl w:val="off"/>
        <w:ind w:firstLine="709"/>
        <w:jc w:val="both"/>
        <w:rPr/>
      </w:pPr>
      <w:r>
        <w:t xml:space="preserve">При выставлении оценки за работу учитывается: </w:t>
      </w:r>
    </w:p>
    <w:p w14:paraId="000000DA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актуальность п</w:t>
      </w:r>
      <w:r>
        <w:t xml:space="preserve">роблемы, являющейся предметом исследования; </w:t>
      </w:r>
    </w:p>
    <w:p w14:paraId="000000DB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соответствие содержания работы заявленной теме; </w:t>
      </w:r>
    </w:p>
    <w:p w14:paraId="000000DC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полнота и глубина изложения; </w:t>
      </w:r>
    </w:p>
    <w:p w14:paraId="000000DD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возможность и место практического применения результатов работы; </w:t>
      </w:r>
    </w:p>
    <w:p w14:paraId="000000DE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уровень теоретической подготовки студента и способность ег</w:t>
      </w:r>
      <w:r>
        <w:t xml:space="preserve">о к самостоятельным исследованиям; </w:t>
      </w:r>
    </w:p>
    <w:p w14:paraId="000000DF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общее отношение студента к выполнению работы; </w:t>
      </w:r>
    </w:p>
    <w:p w14:paraId="000000E0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самостоятельность в работе, инициативность, творческий подход. </w:t>
      </w:r>
    </w:p>
    <w:p w14:paraId="000000E1">
      <w:pPr>
        <w:ind w:firstLine="709"/>
        <w:jc w:val="both"/>
        <w:rPr/>
      </w:pPr>
      <w:r>
        <w:t xml:space="preserve">Оценка за реферат выставляется по четырёхбалльной системе: </w:t>
      </w:r>
    </w:p>
    <w:p w14:paraId="000000E2">
      <w:pPr>
        <w:ind w:firstLine="709"/>
        <w:jc w:val="both"/>
        <w:rPr/>
      </w:pPr>
      <w:r>
        <w:t>«Отлично» – выполнены все требования к написа</w:t>
      </w:r>
      <w:r>
        <w:t>нию: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о</w:t>
      </w:r>
      <w:r>
        <w:t xml:space="preserve">формлению. </w:t>
      </w:r>
    </w:p>
    <w:p w14:paraId="000000E3">
      <w:pPr>
        <w:ind w:firstLine="709"/>
        <w:jc w:val="both"/>
        <w:rPr/>
      </w:pPr>
      <w:r>
        <w:t>«Хорошо» – основные требования к реферату и его защите выполнены, но при этом допущены недочёты; в частности, имеются неточности в изложении материала; отсутствует логическая последовательность в суждениях; не выдержан объём реферата; имеются у</w:t>
      </w:r>
      <w:r>
        <w:t xml:space="preserve">пущения в оформлении. </w:t>
      </w:r>
    </w:p>
    <w:p w14:paraId="000000E4">
      <w:pPr>
        <w:ind w:firstLine="709"/>
        <w:jc w:val="both"/>
        <w:rPr/>
      </w:pPr>
      <w:r>
        <w:t xml:space="preserve">«Удовлетворительно» – имеются существенные отступления от требований: тема освещена лишь частично; допущены фактические ошибки в содержании реферата. </w:t>
      </w:r>
    </w:p>
    <w:p w14:paraId="000000E5">
      <w:pPr>
        <w:ind w:firstLine="709"/>
        <w:jc w:val="both"/>
        <w:rPr/>
      </w:pPr>
      <w:r>
        <w:t>«Неудовлетворительно» – реферат выпускником не представлен; тема реферата не раскр</w:t>
      </w:r>
      <w:r>
        <w:t>ыта, обнаруживается существенное непонимание проблемы.</w:t>
      </w:r>
    </w:p>
    <w:p w14:paraId="000000E6">
      <w:pPr>
        <w:ind w:firstLine="709"/>
        <w:jc w:val="both"/>
        <w:rPr>
          <w:b/>
          <w:color w:val="000000"/>
          <w:spacing w:val="7"/>
        </w:rPr>
      </w:pPr>
    </w:p>
    <w:p w14:paraId="000000E7">
      <w:pPr>
        <w:ind w:firstLine="709"/>
        <w:jc w:val="both"/>
        <w:rPr>
          <w:b/>
        </w:rPr>
      </w:pPr>
      <w:r>
        <w:rPr>
          <w:b/>
          <w:color w:val="000000"/>
          <w:spacing w:val="7"/>
        </w:rPr>
        <w:t xml:space="preserve">6 </w:t>
      </w:r>
      <w:r>
        <w:rPr>
          <w:b/>
        </w:rPr>
        <w:t>Методические указаниям по выполнению индивидуального творческого задания</w:t>
      </w:r>
    </w:p>
    <w:p w14:paraId="000000E8">
      <w:pPr>
        <w:ind w:firstLine="709"/>
        <w:jc w:val="both"/>
        <w:rPr>
          <w:b/>
        </w:rPr>
      </w:pPr>
    </w:p>
    <w:p w14:paraId="000000E9">
      <w:pPr>
        <w:ind w:firstLine="709"/>
        <w:jc w:val="both"/>
        <w:rPr>
          <w:rFonts w:eastAsia="Calibri"/>
          <w:color w:val="000000"/>
        </w:rPr>
      </w:pPr>
      <w:r>
        <w:rPr>
          <w:shd w:val="clear" w:color="auto" w:fill="ffffff"/>
        </w:rPr>
        <w:t>Под </w:t>
      </w:r>
      <w:r>
        <w:rPr>
          <w:i/>
          <w:iCs/>
          <w:shd w:val="clear" w:color="auto" w:fill="ffffff"/>
        </w:rPr>
        <w:t>индивидуальным творческим заданием</w:t>
      </w:r>
      <w:r>
        <w:rPr>
          <w:shd w:val="clear" w:color="auto" w:fill="ffffff"/>
        </w:rPr>
        <w:t xml:space="preserve"> понимается последовательность частично регламентированных задач, имеющих уникальное решение, определяемое индивидуальными способностями исполнителя (знаниями, умениями, навыками и природными способностями). Индивидуальное творческое задание — это частично</w:t>
      </w:r>
      <w:r>
        <w:rPr>
          <w:shd w:val="clear" w:color="auto" w:fill="ffffff"/>
        </w:rPr>
        <w:t xml:space="preserve">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</w:t>
      </w:r>
      <w:r>
        <w:rPr>
          <w:rFonts w:eastAsia="Calibri"/>
          <w:color w:val="000000"/>
        </w:rPr>
        <w:t>Важнейшая задача преподавателя заключается в том, чтобы развивать профессион</w:t>
      </w:r>
      <w:r>
        <w:rPr>
          <w:rFonts w:eastAsia="Calibri"/>
          <w:color w:val="000000"/>
        </w:rPr>
        <w:t xml:space="preserve">альную интеллектуальную деятельность обучающихся при выполнении практических и домашних работ с выдачей </w:t>
      </w:r>
      <w:r>
        <w:rPr>
          <w:rFonts w:eastAsia="Calibri"/>
          <w:i/>
          <w:color w:val="000000"/>
        </w:rPr>
        <w:t>индивидуальных творческих заданий</w:t>
      </w:r>
      <w:r>
        <w:rPr>
          <w:rFonts w:eastAsia="Calibri"/>
          <w:color w:val="000000"/>
        </w:rPr>
        <w:t xml:space="preserve"> и ориентацией тематики этих заданий по профилю будущего направления подготовки.</w:t>
      </w:r>
    </w:p>
    <w:p w14:paraId="000000EA">
      <w:pPr>
        <w:ind w:firstLine="709"/>
        <w:jc w:val="both"/>
        <w:rPr/>
      </w:pPr>
      <w:r>
        <w:t>Целью выполнения индивидуального творч</w:t>
      </w:r>
      <w:r>
        <w:t>еского задания является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000000EB">
      <w:pPr>
        <w:ind w:firstLine="709"/>
        <w:jc w:val="both"/>
        <w:rPr/>
      </w:pPr>
      <w:r>
        <w:t>Отличительными особенностями выполнения индивидуал</w:t>
      </w:r>
      <w:r>
        <w:t>ьных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</w:t>
      </w:r>
      <w:r>
        <w:t>м и событиям, давать собственную оценку какой-либо работы и др.</w:t>
      </w:r>
    </w:p>
    <w:p w14:paraId="000000EC">
      <w:pPr>
        <w:ind w:firstLine="709"/>
        <w:jc w:val="both"/>
        <w:rPr/>
      </w:pPr>
      <w:r>
        <w:t xml:space="preserve"> Задачи выполнения индивидуального творческого задания: – углубление теоретических знаний студентов по изучаемой учебной дисциплине; </w:t>
      </w:r>
    </w:p>
    <w:p w14:paraId="000000ED">
      <w:pPr>
        <w:ind w:firstLine="709"/>
        <w:jc w:val="both"/>
        <w:rPr/>
      </w:pPr>
      <w:r>
        <w:t>– развитие способности последовательно и грамотно излагать</w:t>
      </w:r>
      <w:r>
        <w:t xml:space="preserve"> свои мысли, связывать общие теоретические положения с конкретной действительностью; </w:t>
      </w:r>
    </w:p>
    <w:p w14:paraId="000000EE">
      <w:pPr>
        <w:ind w:firstLine="709"/>
        <w:jc w:val="both"/>
        <w:rPr/>
      </w:pPr>
      <w:r>
        <w:t>– формирование навыков самостоятельной творческой работы со специальной литературой; подбора, и анализа конкретных данных, аргументации своей позиции и обоснования выводо</w:t>
      </w:r>
      <w:r>
        <w:t>в.</w:t>
      </w:r>
    </w:p>
    <w:p w14:paraId="000000EF">
      <w:pPr>
        <w:ind w:firstLine="709"/>
        <w:jc w:val="both"/>
        <w:rPr/>
      </w:pPr>
      <w:r>
        <w:t>Ключевым требованием при подготовке индивидуального творческого задания выступает умение обрабатывать и анализировать информацию, делать самостоятельные выводы, обосновывать целесообразность и эффективность предлагаемых решений, четко и логично излагать</w:t>
      </w:r>
      <w:r>
        <w:t xml:space="preserve"> свои мысли.</w:t>
      </w:r>
    </w:p>
    <w:p w14:paraId="000000F0">
      <w:pPr>
        <w:ind w:firstLine="709"/>
        <w:jc w:val="both"/>
        <w:rPr/>
      </w:pPr>
      <w:r>
        <w:t>Выполнение домашнего творческого задания требует серьезной подготовки, сначала следует обратиться к конспекту лекций по раскрываемым в нем вопросам, ознакомиться с ними в учебной и специальной литературе, в том числе в периодических журнальных</w:t>
      </w:r>
      <w:r>
        <w:t xml:space="preserve"> изданиях.</w:t>
      </w:r>
    </w:p>
    <w:p w14:paraId="000000F1">
      <w:pPr>
        <w:ind w:firstLine="709"/>
        <w:jc w:val="both"/>
        <w:rPr/>
      </w:pPr>
      <w:r>
        <w:t xml:space="preserve">Выделяют следующие виды домашних творческих заданий: </w:t>
      </w:r>
    </w:p>
    <w:p w14:paraId="000000F2">
      <w:pPr>
        <w:ind w:firstLine="709"/>
        <w:jc w:val="both"/>
        <w:rPr/>
      </w:pPr>
      <w:r>
        <w:rPr>
          <w:i/>
          <w:iCs/>
        </w:rPr>
        <w:t>Задания когнитивного типа:</w:t>
      </w:r>
      <w:r>
        <w:t xml:space="preserve"> </w:t>
      </w:r>
    </w:p>
    <w:p w14:paraId="000000F3">
      <w:pPr>
        <w:ind w:firstLine="709"/>
        <w:jc w:val="both"/>
        <w:rPr/>
      </w:pPr>
      <w:r>
        <w:t xml:space="preserve">1. Научная проблема – решить реальную проблему, которая существует в науке. </w:t>
      </w:r>
    </w:p>
    <w:p w14:paraId="000000F4">
      <w:pPr>
        <w:ind w:firstLine="709"/>
        <w:jc w:val="both"/>
        <w:rPr/>
      </w:pPr>
      <w:r>
        <w:t xml:space="preserve">2. Структура – нахождение, определение принципов построения различных структур. </w:t>
      </w:r>
    </w:p>
    <w:p w14:paraId="000000F5">
      <w:pPr>
        <w:ind w:firstLine="709"/>
        <w:jc w:val="both"/>
        <w:rPr/>
      </w:pPr>
      <w:r>
        <w:t xml:space="preserve">3. Опыт – проведение опыта, эксперимента. </w:t>
      </w:r>
    </w:p>
    <w:p w14:paraId="000000F6">
      <w:pPr>
        <w:ind w:firstLine="709"/>
        <w:jc w:val="both"/>
        <w:rPr/>
      </w:pPr>
      <w:r>
        <w:t xml:space="preserve">4. Общее в разном – вычленение общего и отличного в разных системах. </w:t>
      </w:r>
    </w:p>
    <w:p w14:paraId="000000F7">
      <w:pPr>
        <w:ind w:firstLine="709"/>
        <w:jc w:val="both"/>
        <w:rPr/>
      </w:pPr>
      <w: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000000F8">
      <w:pPr>
        <w:ind w:firstLine="709"/>
        <w:jc w:val="both"/>
        <w:rPr/>
      </w:pPr>
      <w:r>
        <w:rPr>
          <w:i/>
          <w:iCs/>
        </w:rPr>
        <w:t>Задания креативного типа:</w:t>
      </w:r>
      <w:r>
        <w:t xml:space="preserve"> </w:t>
      </w:r>
    </w:p>
    <w:p w14:paraId="000000F9">
      <w:pPr>
        <w:ind w:firstLine="709"/>
        <w:jc w:val="both"/>
        <w:rPr/>
      </w:pPr>
      <w:r>
        <w:t>1. Сост</w:t>
      </w:r>
      <w:r>
        <w:t xml:space="preserve">авление – составить словарь, кроссворд, игру, викторину и т.д. </w:t>
      </w:r>
    </w:p>
    <w:p w14:paraId="000000FA">
      <w:pPr>
        <w:ind w:firstLine="709"/>
        <w:jc w:val="both"/>
        <w:rPr/>
      </w:pPr>
      <w:r>
        <w:t xml:space="preserve">2. Изготовление – изготовить поделку, модель, макет, газету, журнал, видеофильм. </w:t>
      </w:r>
    </w:p>
    <w:p w14:paraId="000000FB">
      <w:pPr>
        <w:ind w:firstLine="709"/>
        <w:jc w:val="both"/>
        <w:rPr/>
      </w:pPr>
      <w:r>
        <w:t xml:space="preserve">3. Учебное пособие – разработать свои учебные пособия. </w:t>
      </w:r>
    </w:p>
    <w:p w14:paraId="000000FC">
      <w:pPr>
        <w:ind w:firstLine="709"/>
        <w:jc w:val="both"/>
        <w:rPr/>
      </w:pPr>
      <w:r>
        <w:rPr>
          <w:i/>
          <w:iCs/>
        </w:rPr>
        <w:t>Задания организационно-деятельностного типа</w:t>
      </w:r>
      <w:r>
        <w:t xml:space="preserve">: </w:t>
      </w:r>
    </w:p>
    <w:p w14:paraId="000000FD">
      <w:pPr>
        <w:ind w:firstLine="709"/>
        <w:jc w:val="both"/>
        <w:rPr/>
      </w:pPr>
      <w:r>
        <w:t xml:space="preserve">1. План – разработать план домашней или творческой работы, составить индивидуальную программу занятий по дисциплине. </w:t>
      </w:r>
    </w:p>
    <w:p w14:paraId="000000FE">
      <w:pPr>
        <w:ind w:firstLine="709"/>
        <w:jc w:val="both"/>
        <w:rPr/>
      </w:pPr>
      <w:r>
        <w:t>2. Выступление – составить показательное выступление, соревнование, концерт, викторину, кроссворд, занятие.</w:t>
      </w:r>
    </w:p>
    <w:p w14:paraId="000000FF">
      <w:pPr>
        <w:ind w:firstLine="709"/>
        <w:jc w:val="both"/>
        <w:rPr/>
      </w:pPr>
      <w:r>
        <w:t>3. Рефлексия – осознать свою д</w:t>
      </w:r>
      <w:r>
        <w:t xml:space="preserve">еятельность (речь, письмо, чтение, вычисления, размышления) на протяжении определенного отрезка времени. Вывести правила и закономерности этой деятельности. </w:t>
      </w:r>
    </w:p>
    <w:p w14:paraId="00000100">
      <w:pPr>
        <w:ind w:firstLine="709"/>
        <w:jc w:val="both"/>
        <w:rPr/>
      </w:pPr>
      <w:r>
        <w:t>4. Оценка – написать рецензию на текст, фильм, работу другого студента, подготовить самооценку (ка</w:t>
      </w:r>
      <w:r>
        <w:t>чественную характеристику) своей работы по определенной теме за определенный период.</w:t>
      </w:r>
    </w:p>
    <w:p w14:paraId="00000101">
      <w:pPr>
        <w:ind w:firstLine="709"/>
        <w:jc w:val="both"/>
        <w:rPr/>
      </w:pPr>
      <w:r>
        <w:t>Примерный список тем индивидуального творческого задания представлен в фонде оценочных средств дисциплины. Студенту целесообразно выделить в рамках выбранной темы проблемн</w:t>
      </w:r>
      <w:r>
        <w:t>ую зону, постараться самостоятельно ее изучить и творчески подойти к результатам представления полученных результатов.</w:t>
      </w:r>
    </w:p>
    <w:p w14:paraId="00000102">
      <w:pPr>
        <w:ind w:firstLine="709"/>
        <w:jc w:val="both"/>
        <w:rPr>
          <w:i/>
          <w:iCs/>
        </w:rPr>
      </w:pPr>
      <w:r>
        <w:rPr>
          <w:i/>
          <w:iCs/>
        </w:rPr>
        <w:t xml:space="preserve">Оформление индивидуального творческого задания: </w:t>
      </w:r>
    </w:p>
    <w:p w14:paraId="00000103">
      <w:pPr>
        <w:ind w:firstLine="709"/>
        <w:jc w:val="both"/>
        <w:rPr/>
      </w:pPr>
      <w:r>
        <w:t xml:space="preserve">1. Титульный лист. </w:t>
      </w:r>
    </w:p>
    <w:p w14:paraId="00000104">
      <w:pPr>
        <w:ind w:firstLine="709"/>
        <w:jc w:val="both"/>
        <w:rPr/>
      </w:pPr>
      <w:r>
        <w:t xml:space="preserve">2. Форма задания. </w:t>
      </w:r>
    </w:p>
    <w:p w14:paraId="00000105">
      <w:pPr>
        <w:ind w:firstLine="709"/>
        <w:jc w:val="both"/>
        <w:rPr/>
      </w:pPr>
      <w:r>
        <w:t xml:space="preserve">3. Пояснительная записка. </w:t>
      </w:r>
    </w:p>
    <w:p w14:paraId="00000106">
      <w:pPr>
        <w:ind w:firstLine="709"/>
        <w:jc w:val="both"/>
        <w:rPr/>
      </w:pPr>
      <w:r>
        <w:t>4. Содержательная част</w:t>
      </w:r>
      <w:r>
        <w:t xml:space="preserve">ь творческого задания. </w:t>
      </w:r>
    </w:p>
    <w:p w14:paraId="00000107">
      <w:pPr>
        <w:ind w:firstLine="709"/>
        <w:jc w:val="both"/>
        <w:rPr/>
      </w:pPr>
      <w:r>
        <w:t xml:space="preserve">5. Выводы. </w:t>
      </w:r>
    </w:p>
    <w:p w14:paraId="00000108">
      <w:pPr>
        <w:ind w:firstLine="709"/>
        <w:jc w:val="both"/>
        <w:rPr/>
      </w:pPr>
      <w:r>
        <w:t>6. Список использованных источников.</w:t>
      </w:r>
    </w:p>
    <w:p w14:paraId="00000109">
      <w:pPr>
        <w:ind w:firstLine="709"/>
        <w:jc w:val="both"/>
        <w:rPr/>
      </w:pPr>
      <w:r>
        <w:rPr>
          <w:i/>
          <w:iCs/>
        </w:rPr>
        <w:t>Титульный лист</w:t>
      </w:r>
      <w:r>
        <w:t xml:space="preserve"> является первой страницей и заполняется по строго определенным правилам. </w:t>
      </w:r>
    </w:p>
    <w:p w14:paraId="0000010A">
      <w:pPr>
        <w:ind w:firstLine="709"/>
        <w:jc w:val="both"/>
        <w:rPr/>
      </w:pPr>
      <w:r>
        <w:rPr>
          <w:i/>
          <w:iCs/>
        </w:rPr>
        <w:t>В пояснительной записке</w:t>
      </w:r>
      <w:r>
        <w:t xml:space="preserve"> дается обоснование представленного задания, отражаются принципы и усло</w:t>
      </w:r>
      <w:r>
        <w:t xml:space="preserve">вия построения, цели и задачи. Указывается 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 </w:t>
      </w:r>
    </w:p>
    <w:p w14:paraId="0000010B">
      <w:pPr>
        <w:ind w:firstLine="709"/>
        <w:jc w:val="both"/>
        <w:rPr/>
      </w:pPr>
      <w:r>
        <w:rPr>
          <w:i/>
          <w:iCs/>
        </w:rPr>
        <w:t>Содержательная ча</w:t>
      </w:r>
      <w:r>
        <w:rPr>
          <w:i/>
          <w:iCs/>
        </w:rPr>
        <w:t>сть</w:t>
      </w:r>
      <w:r>
        <w:t xml:space="preserve">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</w:t>
      </w:r>
    </w:p>
    <w:p w14:paraId="0000010C">
      <w:pPr>
        <w:ind w:firstLine="709"/>
        <w:jc w:val="both"/>
        <w:rPr/>
      </w:pPr>
      <w:r>
        <w:rPr>
          <w:i/>
          <w:iCs/>
        </w:rPr>
        <w:t>Заключительная часть</w:t>
      </w:r>
      <w:r>
        <w:t xml:space="preserve"> предполагает последовательное, логически стройное изложение обобщенных выводов</w:t>
      </w:r>
      <w:r>
        <w:t xml:space="preserve"> по рассматриваемой теме. </w:t>
      </w:r>
    </w:p>
    <w:p w14:paraId="0000010D">
      <w:pPr>
        <w:ind w:firstLine="709"/>
        <w:jc w:val="both"/>
        <w:rPr/>
      </w:pPr>
      <w:r>
        <w:rPr>
          <w:i/>
          <w:iCs/>
        </w:rPr>
        <w:t>Список использованных источников</w:t>
      </w:r>
      <w:r>
        <w:t xml:space="preserve"> составляет одну из частей работы, отражающей самостоятельную творческую работу автора, позволяет судить о степени фундаментальности данной работы. Список использованных источников для творческого </w:t>
      </w:r>
      <w:r>
        <w:t>задания оформляется в соответствии с требованиями, представленными в стандарте оформления студенческих работ. В список должны быть включены только те источники, которые автор действительно изучил.</w:t>
      </w:r>
    </w:p>
    <w:p w14:paraId="0000010E">
      <w:pPr>
        <w:keepNext w:val="on"/>
        <w:keepLines w:val="on"/>
        <w:ind w:firstLine="709"/>
        <w:jc w:val="both"/>
        <w:rPr/>
      </w:pPr>
      <w:r>
        <w:t>Критериями оценки индивидуального</w:t>
      </w:r>
      <w:r>
        <w:t xml:space="preserve"> творческого задания служат следующие параметры: </w:t>
      </w:r>
    </w:p>
    <w:p w14:paraId="0000010F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полнота раскрытия темы; </w:t>
      </w:r>
    </w:p>
    <w:p w14:paraId="00000110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логика изложения, глубина проработки теоретических основ проблемы и взаимосвязь отдельных рассматриваемых вопросов в индивидуальном творческом задании; </w:t>
      </w:r>
    </w:p>
    <w:p w14:paraId="00000111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качество оформления ин</w:t>
      </w:r>
      <w:r>
        <w:t xml:space="preserve">дивидуального творческого задания в соответствии с предъявляемыми требованиями; </w:t>
      </w:r>
    </w:p>
    <w:p w14:paraId="00000112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отношение студента к работе. </w:t>
      </w:r>
    </w:p>
    <w:p w14:paraId="00000113">
      <w:pPr>
        <w:keepNext w:val="on"/>
        <w:keepLines w:val="on"/>
        <w:ind w:firstLine="709"/>
        <w:jc w:val="both"/>
        <w:rPr/>
      </w:pPr>
      <w:r>
        <w:t>Оценка «зачтено» выставляется студенту, являющемуся автором индивидуального творческого задания, соответствующей всем предъявляемым требованиям</w:t>
      </w:r>
      <w:r>
        <w:t xml:space="preserve">, в том числе формальным. При этом в работе студент должен: </w:t>
      </w:r>
    </w:p>
    <w:p w14:paraId="00000114">
      <w:pPr>
        <w:keepNext w:val="on"/>
        <w:keepLines w:val="on"/>
        <w:ind w:firstLine="709"/>
        <w:jc w:val="both"/>
        <w:rPr/>
      </w:pPr>
      <w:r>
        <w:t xml:space="preserve">а) продемонстрировать умение раскрыть актуальность заявленной темы; проиллюстрировать ее сформулированными теоретическими предложениями; </w:t>
      </w:r>
    </w:p>
    <w:p w14:paraId="00000115">
      <w:pPr>
        <w:keepNext w:val="on"/>
        <w:keepLines w:val="on"/>
        <w:ind w:firstLine="709"/>
        <w:jc w:val="both"/>
        <w:rPr/>
      </w:pPr>
      <w:r>
        <w:t>б) соблюдать логику и последовательность изложения, рассм</w:t>
      </w:r>
      <w:r>
        <w:t xml:space="preserve">атриваемых вопросов; </w:t>
      </w:r>
    </w:p>
    <w:p w14:paraId="00000116">
      <w:pPr>
        <w:keepNext w:val="on"/>
        <w:keepLines w:val="on"/>
        <w:ind w:firstLine="709"/>
        <w:jc w:val="both"/>
        <w:rPr/>
      </w:pPr>
      <w:r>
        <w:t xml:space="preserve">в) показать умение анализировать и делать выводы по всему представленному материалу; </w:t>
      </w:r>
    </w:p>
    <w:p w14:paraId="00000117">
      <w:pPr>
        <w:keepNext w:val="on"/>
        <w:keepLines w:val="on"/>
        <w:ind w:firstLine="709"/>
        <w:jc w:val="both"/>
        <w:rPr/>
      </w:pPr>
      <w:r>
        <w:t xml:space="preserve">г) грамотно и корректно подходить к текстовому материалу. </w:t>
      </w:r>
    </w:p>
    <w:p w14:paraId="00000118">
      <w:pPr>
        <w:keepNext w:val="on"/>
        <w:keepLines w:val="on"/>
        <w:ind w:firstLine="709"/>
        <w:jc w:val="both"/>
        <w:rPr/>
      </w:pPr>
      <w:r>
        <w:t>Оценка «не зачтено» выставляется студенту, являющемуся автором индивидуального творческог</w:t>
      </w:r>
      <w:r>
        <w:t xml:space="preserve">о задания, не соответствующей предъявляемым требованиям. Оценка «не зачтено» выставляется также, если студент: </w:t>
      </w:r>
    </w:p>
    <w:p w14:paraId="00000119">
      <w:pPr>
        <w:keepNext w:val="on"/>
        <w:keepLines w:val="on"/>
        <w:ind w:firstLine="709"/>
        <w:jc w:val="both"/>
        <w:rPr/>
      </w:pPr>
      <w:r>
        <w:t xml:space="preserve">а) не раскрыл актуальность темы исследования; </w:t>
      </w:r>
    </w:p>
    <w:p w14:paraId="0000011A">
      <w:pPr>
        <w:keepNext w:val="on"/>
        <w:keepLines w:val="on"/>
        <w:ind w:firstLine="709"/>
        <w:jc w:val="both"/>
        <w:rPr/>
      </w:pPr>
      <w:r>
        <w:t xml:space="preserve">б) не предложил теоретических разработок. </w:t>
      </w:r>
    </w:p>
    <w:p w14:paraId="0000011B">
      <w:pPr>
        <w:keepNext w:val="on"/>
        <w:keepLines w:val="on"/>
        <w:ind w:firstLine="709"/>
        <w:jc w:val="both"/>
        <w:rPr/>
      </w:pPr>
      <w:r>
        <w:t xml:space="preserve">Оценка «не зачтено» также выставляется, если возникли </w:t>
      </w:r>
      <w:r>
        <w:t>обоснованные сомнения в том, что студент не является автором представленного индивидуального творческого задания (не ориентируется в тексте работы; не может дать ответы на уточняющие вопросы, касающиеся сформулированных в работе теоретических и практически</w:t>
      </w:r>
      <w:r>
        <w:t>х предложений и т.д.). Такое решение принимается и в том случае, если задание не соответствует предъявляемым требованиям.</w:t>
      </w:r>
    </w:p>
    <w:p w14:paraId="0000011C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</w:p>
    <w:p w14:paraId="0000011D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  <w:r>
        <w:rPr>
          <w:rFonts w:eastAsia="Calibri"/>
          <w:b/>
          <w:bCs/>
          <w:iCs/>
        </w:rPr>
        <w:t>7 Методические указания по подготовке к зачету</w:t>
      </w:r>
    </w:p>
    <w:p w14:paraId="0000011E">
      <w:pPr>
        <w:keepNext w:val="on"/>
        <w:keepLines w:val="on"/>
        <w:ind w:firstLine="709"/>
        <w:jc w:val="both"/>
        <w:rPr>
          <w:rFonts w:eastAsia="Calibri"/>
          <w:iCs/>
        </w:rPr>
      </w:pPr>
    </w:p>
    <w:p w14:paraId="0000011F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/>
          <w:iCs/>
        </w:rPr>
        <w:t xml:space="preserve">Зачет </w:t>
      </w:r>
      <w:r>
        <w:rPr>
          <w:rFonts w:eastAsia="Calibri"/>
          <w:iCs/>
        </w:rPr>
        <w:t>– форма контроля и организации обучения, предназначенная для  проверки</w:t>
      </w:r>
      <w:r>
        <w:rPr>
          <w:rFonts w:eastAsia="Calibri"/>
          <w:iCs/>
        </w:rPr>
        <w:t xml:space="preserve"> степени усвоения  студентами  учебного материала (отдельных разделов учебной программы), уровня сформированности   профессионально-ориентированных умений, навыков, компетенций.</w:t>
      </w:r>
    </w:p>
    <w:p w14:paraId="00000120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При  подготовке к зачету следует  обратиться  к  пройденному учебному материал</w:t>
      </w:r>
      <w:r>
        <w:rPr>
          <w:rFonts w:eastAsia="Calibri"/>
          <w:iCs/>
        </w:rPr>
        <w:t>у.  Подготовка студента к зачёту включает в себя три этапа:</w:t>
      </w:r>
    </w:p>
    <w:p w14:paraId="00000121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– самостоятельная работа в течение семестра;</w:t>
      </w:r>
    </w:p>
    <w:p w14:paraId="00000122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– непосредственная подготовка к зачёту во внеучебное время;</w:t>
      </w:r>
    </w:p>
    <w:p w14:paraId="00000123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– подготовка к ответу на вопросы зачетного испытания.</w:t>
      </w:r>
    </w:p>
    <w:p w14:paraId="00000124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При подготовке к зачету следует   пол</w:t>
      </w:r>
      <w:r>
        <w:rPr>
          <w:rFonts w:eastAsia="Calibri"/>
          <w:iCs/>
        </w:rPr>
        <w:t xml:space="preserve">ьзоваться  рекомендованной  литературой (основной и дополнительной),  тематическими  интернет-ресурсами, повторять материал, который изучался на практических занятиях. В ходе подготовки  необходимо обращать внимание  не только на уровень запоминания, но и </w:t>
      </w:r>
      <w:r>
        <w:rPr>
          <w:rFonts w:eastAsia="Calibri"/>
          <w:iCs/>
        </w:rPr>
        <w:t>на степень понимания   изучаемых  проблем и тематических разделов, представленных в содержании вопросов зачетного испытания. Готовясь к ответу на вопрос следует помнить о  положительном оценивании преподавателем  стремления студента изложить различные точк</w:t>
      </w:r>
      <w:r>
        <w:rPr>
          <w:rFonts w:eastAsia="Calibri"/>
          <w:iCs/>
        </w:rPr>
        <w:t>и зрения на рассматриваемую проблему, выразить свое отношение  к ней. Кроме того, преподаватель имеет право   задать дополнительные и уточняющие вопросы, помогающие выяснить степень  знаний  студента  в  пределах пройденного   учебного  материала.</w:t>
      </w:r>
    </w:p>
    <w:p w14:paraId="00000125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Положите</w:t>
      </w:r>
      <w:r>
        <w:rPr>
          <w:rFonts w:eastAsia="Calibri"/>
          <w:iCs/>
        </w:rPr>
        <w:t>льные  результаты сдачи зачета оцениваются  отметками «зачтено» и проставляются в ведомости и в зачётной  книжке студента. При подготовке к зачету необходимо ориентироваться на конспекты лекций, рекомендуемую литературу, тематические  методические материал</w:t>
      </w:r>
      <w:r>
        <w:rPr>
          <w:rFonts w:eastAsia="Calibri"/>
          <w:iCs/>
        </w:rPr>
        <w:t>ы. Не следует забывать, что подготовка к зачету начинается с первого занятия по дисциплине, на котором студенты получают общую установку преподавателя и перечень основных требований к текущей и итоговой отчетности. При этом важно с самого начала планомерно</w:t>
      </w:r>
      <w:r>
        <w:rPr>
          <w:rFonts w:eastAsia="Calibri"/>
          <w:iCs/>
        </w:rPr>
        <w:t xml:space="preserve"> осваивать материал, руководствуясь, прежде всего  перечнем вопросов к зачету, конспектировать важные для решения учебных  задач источники. В течение семестра происходит пополнение, систематизация и  корректировка студенческих наработок, освоение нового и </w:t>
      </w:r>
      <w:r>
        <w:rPr>
          <w:rFonts w:eastAsia="Calibri"/>
          <w:iCs/>
        </w:rPr>
        <w:t>закрепление уже   изученного материала.</w:t>
      </w:r>
    </w:p>
    <w:p w14:paraId="00000126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Для успешной сдачи зачета необходимо не только выучить материал, но  и успеть повторить его до зачета. </w:t>
      </w:r>
    </w:p>
    <w:p w14:paraId="00000127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  <w:r>
        <w:rPr>
          <w:rFonts w:eastAsia="Calibri"/>
          <w:iCs/>
        </w:rPr>
        <w:t>Чтобы лучше усвоить материал, рекомендуется:   просматривать  конспекты сразу после занятий, бегло просматривать</w:t>
      </w:r>
      <w:r>
        <w:rPr>
          <w:rFonts w:eastAsia="Calibri"/>
          <w:iCs/>
        </w:rPr>
        <w:t xml:space="preserve">  содержание  конспекта лекций  до начала следующего занятия; по возможности еженедельно  отводить время для повторения пройденного материала (самопроверки);  завершить изучение материала за день до зачета.</w:t>
      </w:r>
    </w:p>
    <w:p w14:paraId="00000128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</w:p>
    <w:p w14:paraId="00000129">
      <w:pPr>
        <w:pStyle w:val="Report_Main"/>
        <w:keepNext w:val="on"/>
        <w:keepLines w:val="on"/>
        <w:widowControl w:val="off"/>
        <w:jc w:val="both"/>
        <w:rPr>
          <w:b/>
          <w:sz w:val="28"/>
        </w:rPr>
      </w:pPr>
    </w:p>
    <w:p w14:paraId="0000012A">
      <w:pPr>
        <w:pStyle w:val="Report_Head"/>
        <w:keepNext w:val="on"/>
        <w:keepLines w:val="on"/>
        <w:jc w:val="both"/>
        <w:rPr>
          <w:rFonts w:eastAsia="Times New Roman"/>
          <w:sz w:val="24"/>
          <w:szCs w:val="24"/>
        </w:rPr>
      </w:pPr>
    </w:p>
    <w:p w14:paraId="0000012B">
      <w:pPr>
        <w:keepNext w:val="on"/>
        <w:shd w:val="clear" w:color="auto" w:fill="ffffff"/>
        <w:spacing w:after="480"/>
        <w:rPr/>
      </w:pPr>
    </w:p>
    <w:sectPr>
      <w:pgSz w:w="11906" w:h="16838"/>
      <w:pgMar w:top="567" w:right="567" w:bottom="56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endnote w:type="separator" w:id="0">
    <w:p w14:paraId="00000003">
      <w:r>
        <w:rPr/>
        <w:separator/>
      </w:r>
    </w:p>
  </w:endnote>
  <w:endnote w:type="continuationSeparator" w:id="1">
    <w:p w14:paraId="00000004"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00000000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00000000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Helvetica Neue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p w14:paraId="0000012C">
    <w:pPr>
      <w:pStyle w:val="Footer"/>
      <w:jc w:val="center"/>
      <w:rPr/>
    </w:pPr>
    <w:r>
      <w:fldChar w:fldCharType="begin"/>
    </w:r>
    <w:r>
      <w:instrText xml:space="preserve">PAGE   \* MERGEFORMAT</w:instrText>
    </w:r>
    <w:r>
      <w:fldChar w:fldCharType="separate"/>
    </w:r>
    <w:r>
      <w:t>12</w:t>
    </w:r>
    <w:r>
      <w:fldChar w:fldCharType="end"/>
    </w:r>
  </w:p>
  <w:p w14:paraId="0000012D">
    <w:pPr>
      <w:pStyle w:val="Footer"/>
      <w:rPr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footnote w:type="separator" w:id="0">
    <w:p w14:paraId="00000001">
      <w:r>
        <w:rPr/>
        <w:separator/>
      </w:r>
    </w:p>
  </w:footnote>
  <w:footnote w:type="continuationSeparator" w:id="1">
    <w:p w14:paraId="00000002">
      <w:r>
        <w:rPr/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multiLevelType w:val="hybridMultilevel"/>
    <w:lvl w:ilvl="0" w:tentative="0">
      <w:start w:val="1"/>
      <w:numFmt w:val="decimal"/>
      <w:lvlText w:val="%1"/>
      <w:lvlJc w:val="left"/>
      <w:pPr>
        <w:ind w:left="1429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multiLevelType w:val="hybridMultilevel"/>
    <w:lvl w:ilvl="0" w:tentative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07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67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27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multiLevelType w:val="multilevel"/>
    <w:styleLink w:val="OutlineList2"/>
    <w:lvl w:ilvl="0" w:tentative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Ansi="Times New Roman"/>
      </w:r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multiLevelType w:val="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2"/>
      <w:numFmt w:val="decimal"/>
      <w:isLgl w:val="on"/>
      <w:lvlText w:val="%1.%2"/>
      <w:lvlJc w:val="left"/>
      <w:pPr>
        <w:ind w:left="1159" w:hanging="450"/>
      </w:pPr>
      <w:rPr>
        <w:rFonts w:hint="default"/>
      </w:rPr>
    </w:lvl>
    <w:lvl w:ilvl="2" w:tentative="0">
      <w:start w:val="1"/>
      <w:numFmt w:val="decimal"/>
      <w:isLgl w:val="on"/>
      <w:lvlText w:val="%1.%2.%3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 w:val="on"/>
      <w:lvlText w:val="%1.%2.%3.%4"/>
      <w:lvlJc w:val="left"/>
      <w:pPr>
        <w:ind w:left="2487" w:hanging="1080"/>
      </w:pPr>
      <w:rPr>
        <w:rFonts w:hint="default"/>
      </w:rPr>
    </w:lvl>
    <w:lvl w:ilvl="4" w:tentative="0">
      <w:start w:val="1"/>
      <w:numFmt w:val="decimal"/>
      <w:isLgl w:val="on"/>
      <w:lvlText w:val="%1.%2.%3.%4.%5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 w:val="on"/>
      <w:lvlText w:val="%1.%2.%3.%4.%5.%6"/>
      <w:lvlJc w:val="left"/>
      <w:pPr>
        <w:ind w:left="3545" w:hanging="1440"/>
      </w:pPr>
      <w:rPr>
        <w:rFonts w:hint="default"/>
      </w:rPr>
    </w:lvl>
    <w:lvl w:ilvl="6" w:tentative="0">
      <w:start w:val="1"/>
      <w:numFmt w:val="decimal"/>
      <w:isLgl w:val="on"/>
      <w:lvlText w:val="%1.%2.%3.%4.%5.%6.%7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 w:val="on"/>
      <w:lvlText w:val="%1.%2.%3.%4.%5.%6.%7.%8"/>
      <w:lvlJc w:val="left"/>
      <w:pPr>
        <w:ind w:left="4603" w:hanging="1800"/>
      </w:pPr>
      <w:rPr>
        <w:rFonts w:hint="default"/>
      </w:rPr>
    </w:lvl>
    <w:lvl w:ilvl="8" w:tentative="0">
      <w:start w:val="1"/>
      <w:numFmt w:val="decimal"/>
      <w:isLgl w:val="on"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9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multiLevelType w:val="hybridMultilevel"/>
    <w:lvl w:ilvl="0" w:tentative="0">
      <w:start w:val="1"/>
      <w:numFmt w:val="ideographDigital"/>
      <w:lvlText w:val=""/>
      <w:lvlJc w:val="left"/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num w:numId="1">
    <w:abstractNumId w:val="28"/>
  </w:num>
  <w:num w:numId="2">
    <w:abstractNumId w:val="33"/>
  </w:num>
  <w:num w:numId="3">
    <w:abstractNumId w:val="30"/>
  </w:num>
  <w:num w:numId="4">
    <w:abstractNumId w:val="5"/>
  </w:num>
  <w:num w:numId="5">
    <w:abstractNumId w:val="11"/>
  </w:num>
  <w:num w:numId="6">
    <w:abstractNumId w:val="21"/>
  </w:num>
  <w:num w:numId="7">
    <w:abstractNumId w:val="23"/>
  </w:num>
  <w:num w:numId="8">
    <w:abstractNumId w:val="18"/>
  </w:num>
  <w:num w:numId="9">
    <w:abstractNumId w:val="25"/>
  </w:num>
  <w:num w:numId="10">
    <w:abstractNumId w:val="13"/>
  </w:num>
  <w:num w:numId="11">
    <w:abstractNumId w:val="10"/>
  </w:num>
  <w:num w:numId="12">
    <w:abstractNumId w:val="19"/>
  </w:num>
  <w:num w:numId="13">
    <w:abstractNumId w:val="20"/>
  </w:num>
  <w:num w:numId="14">
    <w:abstractNumId w:val="31"/>
  </w:num>
  <w:num w:numId="15">
    <w:abstractNumId w:val="9"/>
  </w:num>
  <w:num w:numId="16">
    <w:abstractNumId w:val="27"/>
  </w:num>
  <w:num w:numId="17">
    <w:abstractNumId w:val="15"/>
  </w:num>
  <w:num w:numId="18">
    <w:abstractNumId w:val="14"/>
  </w:num>
  <w:num w:numId="19">
    <w:abstractNumId w:val="12"/>
  </w:num>
  <w:num w:numId="20">
    <w:abstractNumId w:val="0"/>
  </w:num>
  <w:num w:numId="21">
    <w:abstractNumId w:val="4"/>
  </w:num>
  <w:num w:numId="22">
    <w:abstractNumId w:val="2"/>
  </w:num>
  <w:num w:numId="23">
    <w:abstractNumId w:val="32"/>
  </w:num>
  <w:num w:numId="24">
    <w:abstractNumId w:val="22"/>
  </w:num>
  <w:num w:numId="25">
    <w:abstractNumId w:val="24"/>
  </w:num>
  <w:num w:numId="26">
    <w:abstractNumId w:val="17"/>
  </w:num>
  <w:num w:numId="27">
    <w:abstractNumId w:val="6"/>
  </w:num>
  <w:num w:numId="28">
    <w:abstractNumId w:val="1"/>
  </w:num>
  <w:num w:numId="29">
    <w:abstractNumId w:val="16"/>
  </w:num>
  <w:num w:numId="30">
    <w:abstractNumId w:val="29"/>
  </w:num>
  <w:num w:numId="31">
    <w:abstractNumId w:val="3"/>
  </w:num>
  <w:num w:numId="32">
    <w:abstractNumId w:val="26"/>
  </w:num>
  <w:num w:numId="33">
    <w:abstractNumId w:val="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12CDE"/>
    <w:rsid w:val="00017BF5"/>
    <w:rsid w:val="0003397F"/>
    <w:rsid w:val="00047A14"/>
    <w:rsid w:val="000612E8"/>
    <w:rsid w:val="00061F57"/>
    <w:rsid w:val="00070197"/>
    <w:rsid w:val="00096188"/>
    <w:rsid w:val="000A1D07"/>
    <w:rsid w:val="000B0C2D"/>
    <w:rsid w:val="000B4B20"/>
    <w:rsid w:val="000C2C4D"/>
    <w:rsid w:val="000C7C1D"/>
    <w:rsid w:val="000D40E4"/>
    <w:rsid w:val="000D4540"/>
    <w:rsid w:val="000E0C0F"/>
    <w:rsid w:val="000E2C27"/>
    <w:rsid w:val="000E6800"/>
    <w:rsid w:val="000F0C37"/>
    <w:rsid w:val="001050DA"/>
    <w:rsid w:val="00122660"/>
    <w:rsid w:val="0014137A"/>
    <w:rsid w:val="00144C17"/>
    <w:rsid w:val="00151FD8"/>
    <w:rsid w:val="00164124"/>
    <w:rsid w:val="00170F27"/>
    <w:rsid w:val="00181537"/>
    <w:rsid w:val="00191055"/>
    <w:rsid w:val="00197364"/>
    <w:rsid w:val="001C08A0"/>
    <w:rsid w:val="001D2E9A"/>
    <w:rsid w:val="001D4E8A"/>
    <w:rsid w:val="001E3C09"/>
    <w:rsid w:val="001F3A43"/>
    <w:rsid w:val="00202A3E"/>
    <w:rsid w:val="00235616"/>
    <w:rsid w:val="002523E9"/>
    <w:rsid w:val="00252F90"/>
    <w:rsid w:val="002556A7"/>
    <w:rsid w:val="002902EE"/>
    <w:rsid w:val="00291ADC"/>
    <w:rsid w:val="002945B0"/>
    <w:rsid w:val="002956F8"/>
    <w:rsid w:val="002D4346"/>
    <w:rsid w:val="002D7A6A"/>
    <w:rsid w:val="002E5BCA"/>
    <w:rsid w:val="002E6084"/>
    <w:rsid w:val="002F2E0B"/>
    <w:rsid w:val="002F4C6B"/>
    <w:rsid w:val="002F58F5"/>
    <w:rsid w:val="00310B8C"/>
    <w:rsid w:val="003171C4"/>
    <w:rsid w:val="00341690"/>
    <w:rsid w:val="00394F2D"/>
    <w:rsid w:val="003A2B68"/>
    <w:rsid w:val="003A5E00"/>
    <w:rsid w:val="003B031B"/>
    <w:rsid w:val="003B2B26"/>
    <w:rsid w:val="003C3667"/>
    <w:rsid w:val="003C4297"/>
    <w:rsid w:val="003D4135"/>
    <w:rsid w:val="003F33B9"/>
    <w:rsid w:val="003F6C6D"/>
    <w:rsid w:val="0040005F"/>
    <w:rsid w:val="00403118"/>
    <w:rsid w:val="00413EAA"/>
    <w:rsid w:val="00416EA4"/>
    <w:rsid w:val="004206FF"/>
    <w:rsid w:val="00421F73"/>
    <w:rsid w:val="0042423F"/>
    <w:rsid w:val="004269E2"/>
    <w:rsid w:val="004349CB"/>
    <w:rsid w:val="00437213"/>
    <w:rsid w:val="004854CD"/>
    <w:rsid w:val="0048552D"/>
    <w:rsid w:val="00485F78"/>
    <w:rsid w:val="00487409"/>
    <w:rsid w:val="00491396"/>
    <w:rsid w:val="004927A8"/>
    <w:rsid w:val="004A3040"/>
    <w:rsid w:val="004D4B36"/>
    <w:rsid w:val="0050536A"/>
    <w:rsid w:val="005120D8"/>
    <w:rsid w:val="005248B0"/>
    <w:rsid w:val="0052625F"/>
    <w:rsid w:val="00534285"/>
    <w:rsid w:val="00536860"/>
    <w:rsid w:val="00546DBB"/>
    <w:rsid w:val="00576F74"/>
    <w:rsid w:val="00582395"/>
    <w:rsid w:val="005B5017"/>
    <w:rsid w:val="005C3150"/>
    <w:rsid w:val="005C7E0C"/>
    <w:rsid w:val="005E12B2"/>
    <w:rsid w:val="005E1339"/>
    <w:rsid w:val="005E54C7"/>
    <w:rsid w:val="005F70AC"/>
    <w:rsid w:val="00610F38"/>
    <w:rsid w:val="006278EB"/>
    <w:rsid w:val="006304D7"/>
    <w:rsid w:val="006418CF"/>
    <w:rsid w:val="00657574"/>
    <w:rsid w:val="00691AB7"/>
    <w:rsid w:val="006A0045"/>
    <w:rsid w:val="006B1049"/>
    <w:rsid w:val="006B6202"/>
    <w:rsid w:val="00713F1F"/>
    <w:rsid w:val="00723192"/>
    <w:rsid w:val="00727342"/>
    <w:rsid w:val="00733DB6"/>
    <w:rsid w:val="0074341B"/>
    <w:rsid w:val="00751647"/>
    <w:rsid w:val="0077135B"/>
    <w:rsid w:val="0077318D"/>
    <w:rsid w:val="00790A0B"/>
    <w:rsid w:val="007A5965"/>
    <w:rsid w:val="007B6063"/>
    <w:rsid w:val="007D1AAD"/>
    <w:rsid w:val="007D46C3"/>
    <w:rsid w:val="007E2514"/>
    <w:rsid w:val="007E4228"/>
    <w:rsid w:val="007F0A60"/>
    <w:rsid w:val="007F27E3"/>
    <w:rsid w:val="007F32D8"/>
    <w:rsid w:val="0080015E"/>
    <w:rsid w:val="00815A3C"/>
    <w:rsid w:val="00832132"/>
    <w:rsid w:val="00836BE0"/>
    <w:rsid w:val="008454E5"/>
    <w:rsid w:val="00866920"/>
    <w:rsid w:val="00886C32"/>
    <w:rsid w:val="008B51C6"/>
    <w:rsid w:val="008B538B"/>
    <w:rsid w:val="008B5DD4"/>
    <w:rsid w:val="008C22E0"/>
    <w:rsid w:val="008D7B52"/>
    <w:rsid w:val="00902BE8"/>
    <w:rsid w:val="009062C1"/>
    <w:rsid w:val="00931C56"/>
    <w:rsid w:val="00956F0B"/>
    <w:rsid w:val="009935F9"/>
    <w:rsid w:val="009A0D8D"/>
    <w:rsid w:val="009C10C4"/>
    <w:rsid w:val="009D4C0B"/>
    <w:rsid w:val="009D53A7"/>
    <w:rsid w:val="009E2B8A"/>
    <w:rsid w:val="009F13C7"/>
    <w:rsid w:val="009F18F6"/>
    <w:rsid w:val="009F43AA"/>
    <w:rsid w:val="009F4E29"/>
    <w:rsid w:val="009F7A8C"/>
    <w:rsid w:val="00A01161"/>
    <w:rsid w:val="00A06DC0"/>
    <w:rsid w:val="00A20CB5"/>
    <w:rsid w:val="00A22803"/>
    <w:rsid w:val="00A230C9"/>
    <w:rsid w:val="00A35ACA"/>
    <w:rsid w:val="00A37DD6"/>
    <w:rsid w:val="00A41A22"/>
    <w:rsid w:val="00A511F7"/>
    <w:rsid w:val="00A61DA0"/>
    <w:rsid w:val="00A75183"/>
    <w:rsid w:val="00A76BED"/>
    <w:rsid w:val="00AB6F40"/>
    <w:rsid w:val="00AD3413"/>
    <w:rsid w:val="00AE126B"/>
    <w:rsid w:val="00AF049C"/>
    <w:rsid w:val="00AF30E7"/>
    <w:rsid w:val="00B011A5"/>
    <w:rsid w:val="00B05CE0"/>
    <w:rsid w:val="00B61D8D"/>
    <w:rsid w:val="00B7726A"/>
    <w:rsid w:val="00B974B5"/>
    <w:rsid w:val="00BA7B05"/>
    <w:rsid w:val="00BC6E7B"/>
    <w:rsid w:val="00BE2FD9"/>
    <w:rsid w:val="00BE7CF4"/>
    <w:rsid w:val="00BF1A8F"/>
    <w:rsid w:val="00BF508A"/>
    <w:rsid w:val="00C22295"/>
    <w:rsid w:val="00C23E87"/>
    <w:rsid w:val="00C24375"/>
    <w:rsid w:val="00C25187"/>
    <w:rsid w:val="00C27D58"/>
    <w:rsid w:val="00C33F19"/>
    <w:rsid w:val="00C437F4"/>
    <w:rsid w:val="00CA23D6"/>
    <w:rsid w:val="00CC13BF"/>
    <w:rsid w:val="00CC5F3D"/>
    <w:rsid w:val="00CC61D5"/>
    <w:rsid w:val="00CD07CC"/>
    <w:rsid w:val="00D12F2C"/>
    <w:rsid w:val="00D215EE"/>
    <w:rsid w:val="00D44F68"/>
    <w:rsid w:val="00D46DC4"/>
    <w:rsid w:val="00D533CD"/>
    <w:rsid w:val="00D66EB7"/>
    <w:rsid w:val="00D70E4B"/>
    <w:rsid w:val="00D950CD"/>
    <w:rsid w:val="00DB756C"/>
    <w:rsid w:val="00DD39EC"/>
    <w:rsid w:val="00DF3556"/>
    <w:rsid w:val="00E01DB3"/>
    <w:rsid w:val="00E1429F"/>
    <w:rsid w:val="00E246B0"/>
    <w:rsid w:val="00E36024"/>
    <w:rsid w:val="00E41DC0"/>
    <w:rsid w:val="00E50B95"/>
    <w:rsid w:val="00E52050"/>
    <w:rsid w:val="00E57EC0"/>
    <w:rsid w:val="00E8369C"/>
    <w:rsid w:val="00E86277"/>
    <w:rsid w:val="00E95970"/>
    <w:rsid w:val="00E97EEF"/>
    <w:rsid w:val="00EE2D58"/>
    <w:rsid w:val="00F14E47"/>
    <w:rsid w:val="00F231D8"/>
    <w:rsid w:val="00F62B2A"/>
    <w:rsid w:val="00F6527A"/>
    <w:rsid w:val="00FA687B"/>
    <w:rsid w:val="00FB6AE5"/>
    <w:rsid w:val="00FC54B7"/>
    <w:rsid w:val="00FC6E2F"/>
    <w:rsid w:val="00FD6FDF"/>
    <w:rsid w:val="00FD7A60"/>
    <w:rsid w:val="00FE1AD1"/>
    <w:rsid w:val="00FE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9C0A7-0700-418E-AE58-597E7AC53C0E}"/>
  <w:footnotePr>
    <w:footnote w:id="0"/>
    <w:footnote w:id="1"/>
  </w:footnotePr>
  <w:endnotePr>
    <w:endnote w:id="0"/>
    <w:endnote w:id="1"/>
  </w:endnotePr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Calibri" w:cs="Times New Roman" w:eastAsia="Calibri" w:hAnsi="Calibri"/>
        <w:lang w:val="ru-RU" w:bidi="ar-SA" w:eastAsia="ru-RU"/>
      </w:rPr>
    </w:rPrDefault>
    <w:pPrDefault/>
  </w:docDefaults>
  <w:style w:type="paragraph" w:default="1" w:styleId="Normal">
    <w:name w:val="Normal"/>
    <w:uiPriority w:val="99"/>
    <w:qFormat w:val="on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link w:val="Заголовок1Знак"/>
    <w:uiPriority w:val="9"/>
    <w:qFormat w:val="on"/>
    <w:pPr>
      <w:keepNext w:val="on"/>
      <w:keepLines w:val="on"/>
      <w:spacing w:before="480"/>
    </w:pPr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paragraph" w:styleId="Heading2">
    <w:name w:val="Heading 2"/>
    <w:link w:val="Заголовок2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link w:val="Заголовок3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link w:val="Заголовок4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link w:val="Заголовок5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link w:val="Заголовок6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link w:val="Заголовок7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Заголовок8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404040" w:themeColor="text1" w:themeTint="bf"/>
    </w:rPr>
  </w:style>
  <w:style w:type="paragraph" w:styleId="Heading9">
    <w:name w:val="Heading 9"/>
    <w:link w:val="Заголовок9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paragraph" w:styleId="NoSpacing">
    <w:name w:val="No Spacing"/>
    <w:uiPriority w:val="1"/>
    <w:qFormat w:val="on"/>
  </w:style>
  <w:style w:type="character" w:customStyle="1" w:styleId="Заголовок1Знак">
    <w:name w:val="Заголовок 1 Знак"/>
    <w:link w:val="Heading1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Заголовок2Знак">
    <w:name w:val="Заголовок 2 Знак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Заголовок3Знак">
    <w:name w:val="Заголовок 3 Знак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Заголовок4Знак">
    <w:name w:val="Заголовок 4 Знак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Заголовок5Знак">
    <w:name w:val="Заголовок 5 Знак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Заголовок6Знак">
    <w:name w:val="Заголовок 6 Знак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Заголовок7Знак">
    <w:name w:val="Заголовок 7 Знак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Заголовок8Знак">
    <w:name w:val="Заголовок 8 Знак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Заголовок9Знак">
    <w:name w:val="Заголовок 9 Знак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paragraph" w:styleId="Subtitle">
    <w:name w:val="Subtitle"/>
    <w:link w:val="ПодзаголовокЗнак"/>
    <w:uiPriority w:val="11"/>
    <w:qFormat w:val="on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ПодзаголовокЗнак">
    <w:name w:val="Подзаголовок Знак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Цитата2Знак"/>
    <w:uiPriority w:val="29"/>
    <w:qFormat w:val="on"/>
    <w:rPr>
      <w:i/>
      <w:iCs/>
      <w:color w:val="000000" w:themeColor="text1"/>
    </w:rPr>
  </w:style>
  <w:style w:type="character" w:customStyle="1" w:styleId="Цитата2Знак">
    <w:name w:val="Цитата 2 Знак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ВыделеннаяцитатаЗнак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ВыделеннаяцитатаЗнак">
    <w:name w:val="Выделенная цитата Знак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Footnotetext">
    <w:name w:val="Footnote text"/>
    <w:link w:val="ТекстсноскиЗнак"/>
    <w:uiPriority w:val="99"/>
    <w:semiHidden w:val="on"/>
    <w:unhideWhenUsed w:val="on"/>
  </w:style>
  <w:style w:type="character" w:customStyle="1" w:styleId="ТекстсноскиЗнак">
    <w:name w:val="Текст сноски Знак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ТекстконцевойсноскиЗнак"/>
    <w:uiPriority w:val="99"/>
    <w:semiHidden w:val="on"/>
    <w:unhideWhenUsed w:val="on"/>
  </w:style>
  <w:style w:type="character" w:customStyle="1" w:styleId="ТекстконцевойсноскиЗнак">
    <w:name w:val="Текст концевой сноски Знак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Caption">
    <w:name w:val="Caption"/>
    <w:uiPriority w:val="35"/>
    <w:unhideWhenUsed w:val="on"/>
    <w:qFormat w:val="on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ТекстЗнак">
    <w:name w:val="Текст Знак"/>
    <w:aliases w:val="Знак Знак"/>
    <w:link w:val="PlainText"/>
    <w:uiPriority w:val="99"/>
    <w:rPr>
      <w:rFonts w:ascii="Courier New" w:cs="Courier New" w:hAnsi="Courier New"/>
    </w:rPr>
  </w:style>
  <w:style w:type="paragraph" w:styleId="PlainText">
    <w:name w:val="Plain Text"/>
    <w:aliases w:val="Знак"/>
    <w:basedOn w:val="Normal"/>
    <w:link w:val="ТекстЗнак"/>
    <w:uiPriority w:val="99"/>
    <w:unhideWhenUsed w:val="on"/>
    <w:rPr>
      <w:rFonts w:ascii="Courier New" w:eastAsia="Calibri" w:hAnsi="Courier New"/>
      <w:sz w:val="20"/>
      <w:szCs w:val="20"/>
    </w:rPr>
  </w:style>
  <w:style w:type="character" w:customStyle="1" w:styleId="ТекстЗнак1">
    <w:name w:val="Текст Знак1"/>
    <w:uiPriority w:val="99"/>
    <w:semiHidden w:val="on"/>
    <w:rPr>
      <w:rFonts w:ascii="Consolas" w:cs="Times New Roman" w:eastAsia="Times New Roman" w:hAnsi="Consolas"/>
      <w:sz w:val="21"/>
      <w:szCs w:val="21"/>
      <w:lang w:eastAsia="ru-RU"/>
    </w:rPr>
  </w:style>
  <w:style w:type="paragraph" w:customStyle="1" w:styleId="Default">
    <w:name w:val="Default"/>
    <w:uiPriority w:val="99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_Head">
    <w:name w:val="Report_Head"/>
    <w:basedOn w:val="Normal"/>
    <w:link w:val="Report_HeadЗнак"/>
    <w:uiPriority w:val="99"/>
    <w:pPr>
      <w:jc w:val="center"/>
    </w:pPr>
    <w:rPr>
      <w:rFonts w:eastAsia="Calibri"/>
      <w:sz w:val="28"/>
      <w:szCs w:val="20"/>
    </w:rPr>
  </w:style>
  <w:style w:type="character" w:customStyle="1" w:styleId="Report_HeadЗнак">
    <w:name w:val="Report_Head Знак"/>
    <w:link w:val="Report_Head"/>
    <w:uiPriority w:val="99"/>
    <w:rPr>
      <w:rFonts w:ascii="Times New Roman" w:cs="Times New Roman" w:hAnsi="Times New Roman"/>
      <w:sz w:val="28"/>
    </w:rPr>
  </w:style>
  <w:style w:type="paragraph" w:customStyle="1" w:styleId="Report_Main">
    <w:name w:val="Report_Main"/>
    <w:basedOn w:val="Normal"/>
    <w:link w:val="Report_MainЗнак"/>
    <w:uiPriority w:val="99"/>
    <w:rPr>
      <w:rFonts w:eastAsia="Calibri"/>
      <w:szCs w:val="20"/>
    </w:rPr>
  </w:style>
  <w:style w:type="character" w:customStyle="1" w:styleId="Report_MainЗнак">
    <w:name w:val="Report_Main Знак"/>
    <w:link w:val="Report_Main"/>
    <w:uiPriority w:val="99"/>
    <w:rPr>
      <w:rFonts w:ascii="Times New Roman" w:cs="Times New Roman" w:hAnsi="Times New Roman"/>
      <w:sz w:val="24"/>
    </w:rPr>
  </w:style>
  <w:style w:type="paragraph" w:styleId="Header">
    <w:name w:val="Header"/>
    <w:basedOn w:val="Normal"/>
    <w:link w:val="ВерхнийколонтитулЗнак"/>
    <w:uiPriority w:val="99"/>
    <w:unhideWhenUsed w:val="on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ВерхнийколонтитулЗнак">
    <w:name w:val="Верхний колонтитул Знак"/>
    <w:link w:val="Header"/>
    <w:uiPriority w:val="99"/>
    <w:rPr>
      <w:rFonts w:ascii="Times New Roman" w:cs="Times New Roman" w:hAnsi="Times New Roman"/>
    </w:rPr>
  </w:style>
  <w:style w:type="paragraph" w:styleId="Footer">
    <w:name w:val="Footer"/>
    <w:basedOn w:val="Normal"/>
    <w:link w:val="НижнийколонтитулЗнак"/>
    <w:uiPriority w:val="99"/>
    <w:unhideWhenUsed w:val="on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НижнийколонтитулЗнак">
    <w:name w:val="Нижний колонтитул Знак"/>
    <w:link w:val="Footer"/>
    <w:uiPriority w:val="99"/>
    <w:rPr>
      <w:rFonts w:ascii="Times New Roman" w:cs="Times New Roman" w:hAnsi="Times New Roman"/>
    </w:rPr>
  </w:style>
  <w:style w:type="character" w:styleId="Hyperlink">
    <w:name w:val="Hyperlink"/>
    <w:uiPriority w:val="99"/>
    <w:unhideWhenUsed w:val="on"/>
    <w:rPr>
      <w:color w:val="0563c1"/>
      <w:u w:val="single"/>
    </w:rPr>
  </w:style>
  <w:style w:type="paragraph" w:customStyle="1" w:styleId="C5">
    <w:name w:val="C5"/>
    <w:basedOn w:val="Normal"/>
    <w:uiPriority w:val="99"/>
    <w:pPr>
      <w:spacing w:before="100" w:after="100"/>
    </w:pPr>
  </w:style>
  <w:style w:type="character" w:customStyle="1" w:styleId="C4">
    <w:name w:val="C4"/>
    <w:basedOn w:val="DefaultParagraphFont"/>
    <w:uiPriority w:val="99"/>
  </w:style>
  <w:style w:type="paragraph" w:customStyle="1" w:styleId="C57">
    <w:name w:val="C57"/>
    <w:basedOn w:val="Normal"/>
    <w:uiPriority w:val="99"/>
    <w:pPr>
      <w:spacing w:before="100" w:after="100"/>
    </w:pPr>
  </w:style>
  <w:style w:type="paragraph" w:customStyle="1" w:styleId="C61">
    <w:name w:val="C61"/>
    <w:basedOn w:val="Normal"/>
    <w:uiPriority w:val="99"/>
    <w:pPr>
      <w:spacing w:before="100" w:after="100"/>
    </w:pPr>
  </w:style>
  <w:style w:type="paragraph" w:customStyle="1" w:styleId="C2">
    <w:name w:val="C2"/>
    <w:basedOn w:val="Normal"/>
    <w:uiPriority w:val="99"/>
    <w:pPr>
      <w:spacing w:before="100" w:after="100"/>
    </w:pPr>
  </w:style>
  <w:style w:type="character" w:customStyle="1" w:styleId="C45">
    <w:name w:val="C45"/>
    <w:basedOn w:val="DefaultParagraphFont"/>
    <w:uiPriority w:val="99"/>
  </w:style>
  <w:style w:type="character" w:customStyle="1" w:styleId="C30">
    <w:name w:val="C30"/>
    <w:basedOn w:val="DefaultParagraphFont"/>
    <w:uiPriority w:val="99"/>
  </w:style>
  <w:style w:type="character" w:customStyle="1" w:styleId="C0">
    <w:name w:val="C0"/>
    <w:basedOn w:val="DefaultParagraphFont"/>
    <w:uiPriority w:val="99"/>
  </w:style>
  <w:style w:type="paragraph" w:customStyle="1" w:styleId="C34">
    <w:name w:val="C34"/>
    <w:basedOn w:val="Normal"/>
    <w:uiPriority w:val="99"/>
    <w:pPr>
      <w:spacing w:before="100" w:after="100"/>
    </w:pPr>
  </w:style>
  <w:style w:type="paragraph" w:customStyle="1" w:styleId="C88">
    <w:name w:val="C88"/>
    <w:basedOn w:val="Normal"/>
    <w:uiPriority w:val="99"/>
    <w:pPr>
      <w:spacing w:before="100" w:after="100"/>
    </w:pPr>
  </w:style>
  <w:style w:type="paragraph" w:customStyle="1" w:styleId="C9">
    <w:name w:val="C9"/>
    <w:basedOn w:val="Normal"/>
    <w:uiPriority w:val="99"/>
    <w:pPr>
      <w:spacing w:before="100" w:after="100"/>
    </w:pPr>
  </w:style>
  <w:style w:type="paragraph" w:customStyle="1" w:styleId="C95">
    <w:name w:val="C95"/>
    <w:basedOn w:val="Normal"/>
    <w:uiPriority w:val="99"/>
    <w:pPr>
      <w:spacing w:before="100" w:after="100"/>
    </w:pPr>
  </w:style>
  <w:style w:type="paragraph" w:customStyle="1" w:styleId="C79">
    <w:name w:val="C79"/>
    <w:basedOn w:val="Normal"/>
    <w:uiPriority w:val="99"/>
    <w:pPr>
      <w:spacing w:before="100" w:after="100"/>
    </w:pPr>
  </w:style>
  <w:style w:type="character" w:customStyle="1" w:styleId="C14">
    <w:name w:val="C14"/>
    <w:basedOn w:val="DefaultParagraphFont"/>
    <w:uiPriority w:val="99"/>
  </w:style>
  <w:style w:type="paragraph" w:styleId="Title">
    <w:name w:val="Title"/>
    <w:basedOn w:val="Normal"/>
    <w:link w:val="НазваниеЗнак"/>
    <w:uiPriority w:val="10"/>
    <w:qFormat w:val="on"/>
    <w:pPr>
      <w:spacing w:before="100" w:after="100"/>
    </w:pPr>
  </w:style>
  <w:style w:type="character" w:customStyle="1" w:styleId="НазваниеЗнак">
    <w:name w:val="Название Знак"/>
    <w:basedOn w:val="DefaultParagraphFont"/>
    <w:link w:val="Title"/>
    <w:uiPriority w:val="10"/>
    <w:rPr>
      <w:rFonts w:ascii="Times New Roman" w:eastAsia="Times New Roman" w:hAnsi="Times New Roman"/>
      <w:sz w:val="24"/>
      <w:szCs w:val="24"/>
    </w:rPr>
  </w:style>
  <w:style w:type="paragraph" w:styleId="Normal(Web)">
    <w:name w:val="Normal (Web)"/>
    <w:basedOn w:val="Normal"/>
    <w:link w:val="Обычный(веб)Знак"/>
    <w:uiPriority w:val="99"/>
    <w:unhideWhenUsed w:val="on"/>
    <w:pPr>
      <w:spacing w:before="100" w:after="100"/>
    </w:pPr>
  </w:style>
  <w:style w:type="character" w:customStyle="1" w:styleId="Обычный(веб)Знак">
    <w:name w:val="Обычный (веб) Знак"/>
    <w:basedOn w:val="DefaultParagraphFont"/>
    <w:link w:val="Normal(Web)"/>
    <w:uiPriority w:val="99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 w:val="on"/>
    <w:pPr>
      <w:spacing w:after="200" w:line="276" w:lineRule="auto"/>
      <w:ind w:left="720"/>
      <w:contextualSpacing w:val="on"/>
    </w:pPr>
    <w:rPr>
      <w:rFonts w:ascii="Calibri" w:eastAsia="Calibri" w:hAnsi="Calibri"/>
      <w:sz w:val="22"/>
      <w:szCs w:val="22"/>
      <w:lang w:eastAsia="en-US"/>
    </w:rPr>
  </w:style>
  <w:style w:type="numbering" w:styleId="OutlineList2">
    <w:name w:val="Outline List 2"/>
    <w:basedOn w:val="NoList"/>
    <w:uiPriority w:val="99"/>
    <w:semiHidden w:val="on"/>
    <w:unhideWhenUsed w:val="on"/>
    <w:pPr>
      <w:numPr>
        <w:ilvl w:val="0"/>
        <w:numId w:val="32"/>
      </w:numPr>
    </w:pPr>
  </w:style>
  <w:style w:type="table" w:styleId="TableGrid">
    <w:name w:val="Table Grid"/>
    <w:basedOn w:val="NormalTable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11" Type="http://schemas.openxmlformats.org/officeDocument/2006/relationships/footer" Target="footer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endnotes.xml.rels><?xml version="1.0" encoding="UTF-8" standalone="yes"?>
<Relationships xmlns="http://schemas.openxmlformats.org/package/2006/relationships"></Relationships>
</file>

<file path=word/_rels/footer1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4617</Words>
  <Characters>26318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</cp:coreProperties>
</file>