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766150" w:rsidRDefault="00766150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316EC9" w:rsidRDefault="00316EC9" w:rsidP="00316EC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«ФДТ.5 Методология кибериммунитета»</w:t>
      </w: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16EC9" w:rsidRDefault="00316EC9" w:rsidP="00316EC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16EC9" w:rsidRDefault="00316EC9" w:rsidP="00316EC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16EC9" w:rsidRDefault="00316EC9" w:rsidP="00316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01.03.02 Прикладная математика и информатика</w:t>
      </w:r>
    </w:p>
    <w:p w:rsidR="00316EC9" w:rsidRDefault="00316EC9" w:rsidP="00316EC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16EC9" w:rsidRDefault="00316EC9" w:rsidP="00316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316EC9" w:rsidRDefault="00316EC9" w:rsidP="00316EC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16EC9" w:rsidRDefault="00316EC9" w:rsidP="00316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16EC9" w:rsidRDefault="00316EC9" w:rsidP="00316E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16EC9" w:rsidRDefault="00316EC9" w:rsidP="00316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</w:p>
    <w:p w:rsidR="00316EC9" w:rsidRDefault="00316EC9" w:rsidP="00316EC9">
      <w:pPr>
        <w:pStyle w:val="ReportHead"/>
        <w:suppressAutoHyphens/>
        <w:rPr>
          <w:sz w:val="24"/>
        </w:rPr>
      </w:pPr>
      <w:r>
        <w:rPr>
          <w:sz w:val="24"/>
        </w:rPr>
        <w:t>Год набора 2023</w:t>
      </w:r>
    </w:p>
    <w:p w:rsidR="00E01DB3" w:rsidRPr="00E01DB3" w:rsidRDefault="00E01DB3" w:rsidP="003010EF">
      <w:pPr>
        <w:pStyle w:val="ReportHead"/>
        <w:suppressAutoHyphens/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  <w:bookmarkStart w:id="0" w:name="_GoBack"/>
      <w:bookmarkEnd w:id="0"/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A156B8" w:rsidRDefault="00A25249" w:rsidP="00A25249">
      <w:pPr>
        <w:jc w:val="both"/>
        <w:rPr>
          <w:sz w:val="28"/>
          <w:szCs w:val="28"/>
        </w:rPr>
      </w:pPr>
      <w:r w:rsidRPr="00A156B8">
        <w:rPr>
          <w:sz w:val="28"/>
          <w:szCs w:val="28"/>
        </w:rPr>
        <w:t xml:space="preserve">Методические указания предназначены </w:t>
      </w:r>
      <w:r>
        <w:rPr>
          <w:sz w:val="28"/>
          <w:szCs w:val="28"/>
        </w:rPr>
        <w:t xml:space="preserve">бакалаврам </w:t>
      </w:r>
      <w:r w:rsidRPr="00A156B8">
        <w:rPr>
          <w:sz w:val="28"/>
          <w:szCs w:val="28"/>
        </w:rPr>
        <w:t xml:space="preserve">очной формы обучения по </w:t>
      </w:r>
      <w:r>
        <w:rPr>
          <w:sz w:val="28"/>
          <w:szCs w:val="28"/>
        </w:rPr>
        <w:t>направлению</w:t>
      </w:r>
      <w:r w:rsidRPr="00A156B8">
        <w:rPr>
          <w:sz w:val="28"/>
          <w:szCs w:val="28"/>
        </w:rPr>
        <w:t xml:space="preserve"> </w:t>
      </w:r>
      <w:r w:rsidR="00C7238D">
        <w:rPr>
          <w:sz w:val="28"/>
          <w:szCs w:val="28"/>
        </w:rPr>
        <w:t>01</w:t>
      </w:r>
      <w:r w:rsidRPr="00A156B8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A156B8">
        <w:rPr>
          <w:sz w:val="28"/>
          <w:szCs w:val="28"/>
        </w:rPr>
        <w:t>.0</w:t>
      </w:r>
      <w:r w:rsidR="00C7238D">
        <w:rPr>
          <w:sz w:val="28"/>
          <w:szCs w:val="28"/>
        </w:rPr>
        <w:t>2</w:t>
      </w:r>
      <w:r w:rsidRPr="00A156B8">
        <w:rPr>
          <w:sz w:val="28"/>
          <w:szCs w:val="28"/>
        </w:rPr>
        <w:t xml:space="preserve"> </w:t>
      </w:r>
      <w:r w:rsidR="00C7238D">
        <w:rPr>
          <w:sz w:val="28"/>
          <w:szCs w:val="28"/>
        </w:rPr>
        <w:t xml:space="preserve">Прикладная математика и информатика </w:t>
      </w:r>
      <w:r w:rsidRPr="00A156B8">
        <w:rPr>
          <w:sz w:val="28"/>
          <w:szCs w:val="28"/>
        </w:rPr>
        <w:t>по дисциплине «</w:t>
      </w:r>
      <w:r w:rsidR="00C7238D">
        <w:rPr>
          <w:sz w:val="28"/>
          <w:szCs w:val="28"/>
        </w:rPr>
        <w:t>Методология кибериммунитета</w:t>
      </w:r>
      <w:r w:rsidRPr="00A156B8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протокол № ____ от "___" 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______________</w:t>
      </w:r>
      <w:r w:rsidRPr="007751EC">
        <w:rPr>
          <w:sz w:val="28"/>
          <w:szCs w:val="28"/>
        </w:rPr>
        <w:t>.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bookmarkStart w:id="1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E83A95" w:rsidRDefault="00AE0C9A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="003559A9"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="00E83A95" w:rsidRPr="00CF0A72">
              <w:rPr>
                <w:rStyle w:val="ac"/>
              </w:rPr>
              <w:t>Введение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4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341EA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E83A95" w:rsidRPr="00CF0A72">
              <w:rPr>
                <w:rStyle w:val="ac"/>
              </w:rPr>
              <w:t>1 Методические указания по лекционным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_Toc146548102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341EA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E83A95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_Toc146548103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341EA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E83A95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_Toc146548104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341EA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E83A95" w:rsidRPr="00CF0A72">
              <w:rPr>
                <w:rStyle w:val="ac"/>
              </w:rPr>
              <w:t>2 Методические указания по лабораторным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_Toc146548105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341EA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E83A95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_Toc146548106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341EA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E83A95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_Toc146548107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341EA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E83A95" w:rsidRPr="00CF0A72">
              <w:rPr>
                <w:rStyle w:val="ac"/>
              </w:rPr>
              <w:t>3 Методические указания по самостоятельной работе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_Toc146548108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6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341EA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E83A95" w:rsidRPr="00CF0A72">
              <w:rPr>
                <w:rStyle w:val="ac"/>
                <w:lang w:val="en-US"/>
              </w:rPr>
              <w:t>4</w:t>
            </w:r>
            <w:r w:rsidR="00E83A95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_Toc146548109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341EA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E83A95" w:rsidRPr="00CF0A72">
              <w:rPr>
                <w:rStyle w:val="ac"/>
                <w:lang w:val="en-US"/>
              </w:rPr>
              <w:t>5</w:t>
            </w:r>
            <w:r w:rsidR="00E83A95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_Toc146548110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341EA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E83A95" w:rsidRPr="00CF0A72">
              <w:rPr>
                <w:rStyle w:val="ac"/>
              </w:rPr>
              <w:t>Список литературы по дисциплине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8</w:t>
            </w:r>
            <w:r w:rsidR="00E83A95">
              <w:rPr>
                <w:webHidden/>
              </w:rPr>
              <w:fldChar w:fldCharType="end"/>
            </w:r>
          </w:hyperlink>
        </w:p>
        <w:p w:rsidR="003559A9" w:rsidRPr="00514D3E" w:rsidRDefault="00AE0C9A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="00C7238D"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A29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C7238D"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 w:rsidR="00B70A29"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 w:rsidR="00641543"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A25249">
        <w:rPr>
          <w:snapToGrid w:val="0"/>
        </w:rPr>
        <w:t xml:space="preserve"> </w:t>
      </w:r>
      <w:r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</w:t>
      </w:r>
      <w:r w:rsidR="0088616C" w:rsidRPr="004366E7">
        <w:rPr>
          <w:snapToGrid w:val="0"/>
        </w:rPr>
        <w:t>соответствующ</w:t>
      </w:r>
      <w:r w:rsidR="0088616C"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>компетенци</w:t>
      </w:r>
      <w:r w:rsidR="0027280C" w:rsidRPr="00257CD5">
        <w:rPr>
          <w:snapToGrid w:val="0"/>
        </w:rPr>
        <w:t>ю</w:t>
      </w:r>
      <w:r w:rsidRPr="00257CD5">
        <w:rPr>
          <w:snapToGrid w:val="0"/>
        </w:rPr>
        <w:t>:</w:t>
      </w:r>
      <w:r w:rsidR="00257CD5" w:rsidRPr="00257CD5">
        <w:rPr>
          <w:snapToGrid w:val="0"/>
        </w:rPr>
        <w:t xml:space="preserve"> </w:t>
      </w:r>
      <w:r w:rsidR="00257CD5" w:rsidRPr="00257CD5">
        <w:t>ОПК-4</w:t>
      </w:r>
      <w:r w:rsidR="00257CD5">
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деятельности.</w:t>
      </w:r>
      <w:r w:rsidRPr="004366E7">
        <w:rPr>
          <w:snapToGrid w:val="0"/>
        </w:rPr>
        <w:t xml:space="preserve"> </w:t>
      </w:r>
    </w:p>
    <w:p w:rsidR="00B70A29" w:rsidRDefault="00B70A29" w:rsidP="004366E7">
      <w:pPr>
        <w:ind w:firstLine="709"/>
        <w:jc w:val="both"/>
        <w:rPr>
          <w:snapToGrid w:val="0"/>
        </w:rPr>
      </w:pP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="00A25249">
        <w:rPr>
          <w:snapToGrid w:val="0"/>
        </w:rPr>
        <w:t xml:space="preserve"> </w:t>
      </w:r>
      <w:r w:rsidRPr="00FA7A76">
        <w:t xml:space="preserve">составлены на основе сведений о трудоемкости </w:t>
      </w:r>
      <w:r w:rsidR="00B70A29"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</w:t>
      </w:r>
      <w:r w:rsidR="00B70A29">
        <w:t xml:space="preserve"> </w:t>
      </w:r>
      <w:r w:rsidRPr="00FA7A76">
        <w:t xml:space="preserve">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</w:t>
      </w:r>
      <w:r w:rsidR="00A25249">
        <w:t xml:space="preserve"> </w:t>
      </w:r>
      <w:r w:rsidR="00942D30">
        <w:t>срока</w:t>
      </w:r>
      <w:r w:rsidR="00A25249">
        <w:t>,</w:t>
      </w:r>
      <w:r w:rsidR="00942D30">
        <w:t xml:space="preserve">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</w:t>
      </w:r>
      <w:r w:rsidR="00A25249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55327D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 w:rsidR="0027280C">
        <w:rPr>
          <w:bCs/>
        </w:rPr>
        <w:t xml:space="preserve"> Дополнительно с лекционным материалом можно ознакомиться в системе </w:t>
      </w:r>
      <w:r w:rsidR="0027280C">
        <w:rPr>
          <w:bCs/>
          <w:lang w:val="en-US"/>
        </w:rPr>
        <w:t>MOODLE</w:t>
      </w:r>
      <w:r w:rsidR="0027280C">
        <w:rPr>
          <w:bCs/>
        </w:rPr>
        <w:t>.</w:t>
      </w:r>
      <w:r w:rsidR="0055327D">
        <w:rPr>
          <w:bCs/>
        </w:rPr>
        <w:t xml:space="preserve"> 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9" w:history="1">
        <w:r w:rsidR="00173DDB" w:rsidRPr="00E41A04">
          <w:rPr>
            <w:rStyle w:val="ac"/>
            <w:bCs/>
          </w:rPr>
          <w:t>https://github.com/sergey-sobolev/cyberimmune-systems/wiki/Кибериммунитет</w:t>
        </w:r>
      </w:hyperlink>
      <w:r w:rsidR="00173DDB">
        <w:rPr>
          <w:bCs/>
        </w:rPr>
        <w:t>.</w:t>
      </w:r>
    </w:p>
    <w:p w:rsidR="00D13E84" w:rsidRDefault="0027280C" w:rsidP="00173DDB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E83A95">
        <w:rPr>
          <w:bCs/>
        </w:rPr>
        <w:t xml:space="preserve">Желающие могут ознакомиться с курсом на платформе </w:t>
      </w:r>
      <w:r w:rsidR="00E83A95" w:rsidRPr="00E83A95">
        <w:rPr>
          <w:bCs/>
        </w:rPr>
        <w:t xml:space="preserve"> </w:t>
      </w:r>
      <w:r w:rsidR="00E83A95">
        <w:rPr>
          <w:bCs/>
          <w:lang w:val="en-US"/>
        </w:rPr>
        <w:t>Stepik</w:t>
      </w:r>
      <w:r w:rsidR="00E83A95" w:rsidRPr="00E83A95">
        <w:rPr>
          <w:bCs/>
        </w:rPr>
        <w:t xml:space="preserve"> </w:t>
      </w:r>
      <w:hyperlink r:id="rId10" w:history="1">
        <w:r w:rsidR="00E83A95" w:rsidRPr="00E41A04">
          <w:rPr>
            <w:rStyle w:val="ac"/>
            <w:bCs/>
          </w:rPr>
          <w:t>https://stepik.org/lesson/683305/step/1</w:t>
        </w:r>
      </w:hyperlink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="00E83A95" w:rsidRPr="00E83A95">
        <w:rPr>
          <w:snapToGrid w:val="0"/>
        </w:rPr>
        <w:t xml:space="preserve"> </w:t>
      </w:r>
      <w:r w:rsidR="00E83A95">
        <w:rPr>
          <w:snapToGrid w:val="0"/>
        </w:rPr>
        <w:t xml:space="preserve"> в </w:t>
      </w:r>
      <w:r w:rsidR="00E83A95">
        <w:rPr>
          <w:snapToGrid w:val="0"/>
          <w:lang w:val="en-US"/>
        </w:rPr>
        <w:t>MOODLE</w:t>
      </w:r>
      <w:r w:rsidRPr="006831AA">
        <w:rPr>
          <w:snapToGrid w:val="0"/>
        </w:rPr>
        <w:t>..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="00A25249">
        <w:rPr>
          <w:snapToGrid w:val="0"/>
        </w:rPr>
        <w:t xml:space="preserve"> </w:t>
      </w:r>
      <w:r>
        <w:rPr>
          <w:snapToGrid w:val="0"/>
        </w:rPr>
        <w:t>следует</w:t>
      </w:r>
      <w:r w:rsidR="00A25249">
        <w:rPr>
          <w:snapToGrid w:val="0"/>
        </w:rPr>
        <w:t xml:space="preserve"> 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 w:rsidR="00A25249"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="00A25249">
        <w:rPr>
          <w:snapToGrid w:val="0"/>
        </w:rPr>
        <w:t xml:space="preserve"> </w:t>
      </w:r>
      <w:r>
        <w:rPr>
          <w:snapToGrid w:val="0"/>
        </w:rPr>
        <w:t>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A25249">
        <w:rPr>
          <w:snapToGrid w:val="0"/>
        </w:rPr>
        <w:t>стандарту оформления,</w:t>
      </w:r>
      <w:r w:rsidR="00CB58A5">
        <w:rPr>
          <w:snapToGrid w:val="0"/>
        </w:rPr>
        <w:t xml:space="preserve">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  <w:bookmarkEnd w:id="9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="00A25249">
        <w:rPr>
          <w:snapToGrid w:val="0"/>
        </w:rPr>
        <w:t xml:space="preserve"> </w:t>
      </w:r>
      <w:r>
        <w:rPr>
          <w:snapToGrid w:val="0"/>
        </w:rPr>
        <w:t>подтвержд</w:t>
      </w:r>
      <w:r w:rsidR="00A25249">
        <w:rPr>
          <w:snapToGrid w:val="0"/>
        </w:rPr>
        <w:t>а</w:t>
      </w:r>
      <w:r>
        <w:rPr>
          <w:snapToGrid w:val="0"/>
        </w:rPr>
        <w:t>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 w:rsidR="00A25249"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B41C9E" w:rsidRPr="00E83A95" w:rsidRDefault="00B41C9E" w:rsidP="00E83A95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</w:t>
      </w:r>
      <w:r w:rsidRPr="00A32474">
        <w:rPr>
          <w:snapToGrid w:val="0"/>
        </w:rPr>
        <w:lastRenderedPageBreak/>
        <w:t>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D006D6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D006D6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A25249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0D16CD" w:rsidRPr="00B348CC" w:rsidRDefault="000D16CD" w:rsidP="00A25249">
      <w:pPr>
        <w:jc w:val="both"/>
        <w:rPr>
          <w:snapToGrid w:val="0"/>
        </w:rPr>
      </w:pPr>
    </w:p>
    <w:p w:rsidR="00BA664C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4"/>
    </w:p>
    <w:p w:rsidR="00212C90" w:rsidRDefault="00212C90" w:rsidP="00212C90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212C90" w:rsidRDefault="00212C90" w:rsidP="00212C90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1"/>
    <w:bookmarkEnd w:id="16"/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EA3" w:rsidRDefault="00341EA3" w:rsidP="00E01DB3">
      <w:r>
        <w:separator/>
      </w:r>
    </w:p>
  </w:endnote>
  <w:endnote w:type="continuationSeparator" w:id="0">
    <w:p w:rsidR="00341EA3" w:rsidRDefault="00341EA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EA3" w:rsidRDefault="00341EA3" w:rsidP="00E01DB3">
      <w:r>
        <w:separator/>
      </w:r>
    </w:p>
  </w:footnote>
  <w:footnote w:type="continuationSeparator" w:id="0">
    <w:p w:rsidR="00341EA3" w:rsidRDefault="00341EA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73DDB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17C83"/>
    <w:rsid w:val="00227A7C"/>
    <w:rsid w:val="00257CD5"/>
    <w:rsid w:val="0027280C"/>
    <w:rsid w:val="00286937"/>
    <w:rsid w:val="00287ED9"/>
    <w:rsid w:val="002A6BCB"/>
    <w:rsid w:val="002C673A"/>
    <w:rsid w:val="002D2FB5"/>
    <w:rsid w:val="002E632E"/>
    <w:rsid w:val="002F58F5"/>
    <w:rsid w:val="003010EF"/>
    <w:rsid w:val="00316EC9"/>
    <w:rsid w:val="00320598"/>
    <w:rsid w:val="0032088E"/>
    <w:rsid w:val="00336620"/>
    <w:rsid w:val="00341690"/>
    <w:rsid w:val="00341EA3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5327D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574C"/>
    <w:rsid w:val="006A5E63"/>
    <w:rsid w:val="006B1049"/>
    <w:rsid w:val="006B4C5A"/>
    <w:rsid w:val="006B6FBD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66150"/>
    <w:rsid w:val="00780A36"/>
    <w:rsid w:val="0078771C"/>
    <w:rsid w:val="00797006"/>
    <w:rsid w:val="007A77F1"/>
    <w:rsid w:val="007F0A60"/>
    <w:rsid w:val="00823EBD"/>
    <w:rsid w:val="00832C25"/>
    <w:rsid w:val="00847A86"/>
    <w:rsid w:val="008603E4"/>
    <w:rsid w:val="008669A9"/>
    <w:rsid w:val="0088616C"/>
    <w:rsid w:val="00893D11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A2721"/>
    <w:rsid w:val="009B0727"/>
    <w:rsid w:val="009B47B1"/>
    <w:rsid w:val="009C080F"/>
    <w:rsid w:val="00A00454"/>
    <w:rsid w:val="00A056F2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777A2"/>
    <w:rsid w:val="00A94930"/>
    <w:rsid w:val="00AE0C9A"/>
    <w:rsid w:val="00B0176B"/>
    <w:rsid w:val="00B06A88"/>
    <w:rsid w:val="00B1026F"/>
    <w:rsid w:val="00B22F58"/>
    <w:rsid w:val="00B321E5"/>
    <w:rsid w:val="00B348CC"/>
    <w:rsid w:val="00B41C9E"/>
    <w:rsid w:val="00B70A29"/>
    <w:rsid w:val="00B80AA9"/>
    <w:rsid w:val="00B92E24"/>
    <w:rsid w:val="00BA664C"/>
    <w:rsid w:val="00BB4054"/>
    <w:rsid w:val="00C066C6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83A95"/>
    <w:rsid w:val="00E97EEF"/>
    <w:rsid w:val="00EB7574"/>
    <w:rsid w:val="00ED40D0"/>
    <w:rsid w:val="00EE7A51"/>
    <w:rsid w:val="00EF0132"/>
    <w:rsid w:val="00EF20E8"/>
    <w:rsid w:val="00EF532B"/>
    <w:rsid w:val="00F01B10"/>
    <w:rsid w:val="00F164A7"/>
    <w:rsid w:val="00F566B7"/>
    <w:rsid w:val="00F620D1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  <w:style w:type="character" w:styleId="af1">
    <w:name w:val="Unresolved Mention"/>
    <w:basedOn w:val="a0"/>
    <w:uiPriority w:val="99"/>
    <w:semiHidden/>
    <w:unhideWhenUsed/>
    <w:rsid w:val="00173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epik.org/lesson/683305/step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sergey-sobolev/cyberimmune-systems/wiki/&#1050;&#1080;&#1073;&#1077;&#1088;&#1080;&#1084;&#1084;&#1091;&#1085;&#1080;&#1090;&#1077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DB25B-0C59-42D1-AA5C-9BC87D7C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2019-12-28T09:09:00Z</cp:lastPrinted>
  <dcterms:created xsi:type="dcterms:W3CDTF">2023-09-25T10:29:00Z</dcterms:created>
  <dcterms:modified xsi:type="dcterms:W3CDTF">2024-05-06T08:04:00Z</dcterms:modified>
</cp:coreProperties>
</file>