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3B08A0" w:rsidRDefault="003B08A0" w:rsidP="003B08A0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«ФДТ.2 Утилизация отходов промышленного производства»</w:t>
      </w:r>
    </w:p>
    <w:p w:rsidR="003B08A0" w:rsidRDefault="003B08A0" w:rsidP="003B08A0">
      <w:pPr>
        <w:pStyle w:val="ReportHead"/>
        <w:suppressAutoHyphens/>
        <w:rPr>
          <w:sz w:val="24"/>
        </w:rPr>
      </w:pPr>
    </w:p>
    <w:p w:rsidR="003B08A0" w:rsidRDefault="003B08A0" w:rsidP="003B08A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B08A0" w:rsidRDefault="003B08A0" w:rsidP="003B08A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3B08A0" w:rsidRDefault="003B08A0" w:rsidP="003B08A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B08A0" w:rsidRDefault="003B08A0" w:rsidP="003B08A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19.04.03 Продукты питания животного происхождения</w:t>
      </w:r>
    </w:p>
    <w:p w:rsidR="003B08A0" w:rsidRDefault="003B08A0" w:rsidP="003B08A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B08A0" w:rsidRDefault="003B08A0" w:rsidP="003B08A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Биотехнология продуктов животного происхождения</w:t>
      </w:r>
    </w:p>
    <w:p w:rsidR="003B08A0" w:rsidRDefault="003B08A0" w:rsidP="003B08A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B08A0" w:rsidRDefault="003B08A0" w:rsidP="003B08A0">
      <w:pPr>
        <w:pStyle w:val="ReportHead"/>
        <w:suppressAutoHyphens/>
        <w:rPr>
          <w:sz w:val="24"/>
        </w:rPr>
      </w:pPr>
    </w:p>
    <w:p w:rsidR="003B08A0" w:rsidRDefault="003B08A0" w:rsidP="003B08A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B08A0" w:rsidRDefault="003B08A0" w:rsidP="003B08A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3B08A0" w:rsidRDefault="003B08A0" w:rsidP="003B08A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B08A0" w:rsidRDefault="003B08A0" w:rsidP="003B08A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B35E5" w:rsidRDefault="00BB35E5" w:rsidP="00BB35E5">
      <w:pPr>
        <w:pStyle w:val="ReportHead"/>
        <w:suppressAutoHyphens/>
        <w:rPr>
          <w:rFonts w:eastAsia="Calibri"/>
          <w:i/>
          <w:sz w:val="24"/>
          <w:u w:val="single"/>
        </w:rPr>
      </w:pPr>
    </w:p>
    <w:p w:rsidR="00F519E7" w:rsidRDefault="00F519E7" w:rsidP="00F519E7">
      <w:pPr>
        <w:pStyle w:val="ReportHead"/>
        <w:suppressAutoHyphens/>
        <w:rPr>
          <w:rFonts w:eastAsia="Calibri"/>
          <w:i/>
          <w:sz w:val="24"/>
          <w:u w:val="single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1F510A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D01383">
        <w:rPr>
          <w:rFonts w:eastAsia="Calibri"/>
          <w:sz w:val="24"/>
          <w:szCs w:val="24"/>
        </w:rPr>
        <w:t>3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обучающихся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3B08A0" w:rsidRPr="003B08A0">
        <w:rPr>
          <w:rFonts w:eastAsia="Calibri"/>
          <w:i/>
          <w:sz w:val="24"/>
          <w:szCs w:val="24"/>
          <w:u w:val="single"/>
        </w:rPr>
        <w:t>Утилизация отходов промышленного производства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06758" w:rsidRPr="00706758">
        <w:rPr>
          <w:rFonts w:eastAsia="Calibri"/>
          <w:sz w:val="24"/>
          <w:szCs w:val="24"/>
          <w:u w:val="single"/>
        </w:rPr>
        <w:t>01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23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3B08A0">
        <w:rPr>
          <w:i/>
          <w:sz w:val="24"/>
        </w:rPr>
        <w:t>«ФДТ.2 Утилизация отходов промышленного производства»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1F510A">
        <w:rPr>
          <w:rFonts w:eastAsia="Calibri"/>
          <w:sz w:val="24"/>
          <w:szCs w:val="24"/>
        </w:rPr>
        <w:t> 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 xml:space="preserve">Методические указания по промежуточной аттестации </w:t>
            </w:r>
            <w:proofErr w:type="gramStart"/>
            <w:r w:rsidRPr="00706758">
              <w:rPr>
                <w:spacing w:val="7"/>
                <w:sz w:val="24"/>
                <w:szCs w:val="24"/>
              </w:rPr>
              <w:t>по</w:t>
            </w:r>
            <w:proofErr w:type="gramEnd"/>
            <w:r w:rsidRPr="00706758">
              <w:rPr>
                <w:spacing w:val="7"/>
                <w:sz w:val="24"/>
                <w:szCs w:val="24"/>
              </w:rPr>
              <w:t xml:space="preserve"> дисциплин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Структура и последовательность занятий: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9DC" w:rsidRDefault="00F539DC" w:rsidP="00B87C0A">
      <w:pPr>
        <w:spacing w:after="0" w:line="240" w:lineRule="auto"/>
      </w:pPr>
      <w:r>
        <w:separator/>
      </w:r>
    </w:p>
  </w:endnote>
  <w:endnote w:type="continuationSeparator" w:id="0">
    <w:p w:rsidR="00F539DC" w:rsidRDefault="00F539DC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7D08F3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3B08A0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9DC" w:rsidRDefault="00F539DC" w:rsidP="00B87C0A">
      <w:pPr>
        <w:spacing w:after="0" w:line="240" w:lineRule="auto"/>
      </w:pPr>
      <w:r>
        <w:separator/>
      </w:r>
    </w:p>
  </w:footnote>
  <w:footnote w:type="continuationSeparator" w:id="0">
    <w:p w:rsidR="00F539DC" w:rsidRDefault="00F539DC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114E63"/>
    <w:rsid w:val="00171083"/>
    <w:rsid w:val="0019231B"/>
    <w:rsid w:val="001D3B03"/>
    <w:rsid w:val="001E6254"/>
    <w:rsid w:val="001F510A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54558"/>
    <w:rsid w:val="00363F37"/>
    <w:rsid w:val="00365E92"/>
    <w:rsid w:val="00374A9B"/>
    <w:rsid w:val="003A0B4E"/>
    <w:rsid w:val="003B08A0"/>
    <w:rsid w:val="003B63FD"/>
    <w:rsid w:val="0043511E"/>
    <w:rsid w:val="00454F2A"/>
    <w:rsid w:val="004611F5"/>
    <w:rsid w:val="004638C8"/>
    <w:rsid w:val="004638D5"/>
    <w:rsid w:val="004D6EFD"/>
    <w:rsid w:val="004F0D76"/>
    <w:rsid w:val="005054C9"/>
    <w:rsid w:val="00551E97"/>
    <w:rsid w:val="0055627A"/>
    <w:rsid w:val="00565A44"/>
    <w:rsid w:val="00587D0B"/>
    <w:rsid w:val="005926CC"/>
    <w:rsid w:val="0059649C"/>
    <w:rsid w:val="005C76D9"/>
    <w:rsid w:val="00605EA9"/>
    <w:rsid w:val="006338F5"/>
    <w:rsid w:val="00640CD2"/>
    <w:rsid w:val="006647FB"/>
    <w:rsid w:val="00670552"/>
    <w:rsid w:val="0068176B"/>
    <w:rsid w:val="006E1853"/>
    <w:rsid w:val="006E33E6"/>
    <w:rsid w:val="006F5878"/>
    <w:rsid w:val="00706758"/>
    <w:rsid w:val="00756F29"/>
    <w:rsid w:val="007612D3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34782"/>
    <w:rsid w:val="00876C09"/>
    <w:rsid w:val="008A3F14"/>
    <w:rsid w:val="008B7B84"/>
    <w:rsid w:val="008C55C4"/>
    <w:rsid w:val="008F7A25"/>
    <w:rsid w:val="00900607"/>
    <w:rsid w:val="00920933"/>
    <w:rsid w:val="00930149"/>
    <w:rsid w:val="00991DB1"/>
    <w:rsid w:val="009C6743"/>
    <w:rsid w:val="009C7D85"/>
    <w:rsid w:val="009D5EEA"/>
    <w:rsid w:val="009E5A6E"/>
    <w:rsid w:val="00A03E32"/>
    <w:rsid w:val="00A0413C"/>
    <w:rsid w:val="00A166FA"/>
    <w:rsid w:val="00A52C0D"/>
    <w:rsid w:val="00A73178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779DE"/>
    <w:rsid w:val="00B80F17"/>
    <w:rsid w:val="00B81F67"/>
    <w:rsid w:val="00B87C0A"/>
    <w:rsid w:val="00B936E8"/>
    <w:rsid w:val="00BB35E5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DD12AA"/>
    <w:rsid w:val="00E457E9"/>
    <w:rsid w:val="00E539C0"/>
    <w:rsid w:val="00EB6465"/>
    <w:rsid w:val="00ED3DE5"/>
    <w:rsid w:val="00ED3F46"/>
    <w:rsid w:val="00F519E7"/>
    <w:rsid w:val="00F539DC"/>
    <w:rsid w:val="00F643BE"/>
    <w:rsid w:val="00F75E5E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2</cp:revision>
  <cp:lastPrinted>2019-10-23T04:04:00Z</cp:lastPrinted>
  <dcterms:created xsi:type="dcterms:W3CDTF">2023-04-11T14:23:00Z</dcterms:created>
  <dcterms:modified xsi:type="dcterms:W3CDTF">2023-04-11T14:23:00Z</dcterms:modified>
</cp:coreProperties>
</file>