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E0" w:rsidRPr="004A74E0" w:rsidRDefault="004A74E0" w:rsidP="004A74E0">
      <w:pPr>
        <w:autoSpaceDE w:val="0"/>
        <w:autoSpaceDN w:val="0"/>
        <w:adjustRightInd w:val="0"/>
        <w:spacing w:line="360" w:lineRule="auto"/>
        <w:jc w:val="center"/>
      </w:pPr>
      <w:r w:rsidRPr="004A74E0">
        <w:t>Минобрнауки Российской Федерации</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Федеральное государственное бюджетное образовательное учреждение</w:t>
      </w:r>
    </w:p>
    <w:p w:rsidR="004A74E0" w:rsidRPr="004A74E0" w:rsidRDefault="004A74E0" w:rsidP="004A74E0">
      <w:pPr>
        <w:autoSpaceDE w:val="0"/>
        <w:autoSpaceDN w:val="0"/>
        <w:adjustRightInd w:val="0"/>
        <w:jc w:val="center"/>
      </w:pPr>
      <w:r w:rsidRPr="004A74E0">
        <w:t>высшего образования</w:t>
      </w:r>
    </w:p>
    <w:p w:rsidR="004A74E0" w:rsidRPr="004A74E0" w:rsidRDefault="004A74E0" w:rsidP="004A74E0">
      <w:pPr>
        <w:autoSpaceDE w:val="0"/>
        <w:autoSpaceDN w:val="0"/>
        <w:adjustRightInd w:val="0"/>
        <w:jc w:val="center"/>
        <w:rPr>
          <w:b/>
        </w:rPr>
      </w:pPr>
      <w:r w:rsidRPr="004A74E0">
        <w:rPr>
          <w:b/>
        </w:rPr>
        <w:t>«Оренбургский государственный университет»</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Кафедра организации судебной и прокурорско-следственной деятельности</w:t>
      </w: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suppressAutoHyphens/>
        <w:spacing w:before="120"/>
        <w:jc w:val="center"/>
        <w:rPr>
          <w:rFonts w:eastAsia="Calibri"/>
          <w:lang w:eastAsia="en-US"/>
        </w:rPr>
      </w:pPr>
      <w:r w:rsidRPr="004A74E0">
        <w:rPr>
          <w:rFonts w:eastAsia="Calibri"/>
          <w:lang w:eastAsia="en-US"/>
        </w:rPr>
        <w:t xml:space="preserve">Методические указания для обучающихся по освоению дисциплины </w:t>
      </w:r>
    </w:p>
    <w:p w:rsidR="004A74E0" w:rsidRPr="004A74E0" w:rsidRDefault="004A74E0" w:rsidP="004A74E0">
      <w:pPr>
        <w:suppressAutoHyphens/>
        <w:spacing w:before="120"/>
        <w:jc w:val="center"/>
        <w:rPr>
          <w:rFonts w:eastAsia="Calibri"/>
          <w:i/>
          <w:lang w:eastAsia="en-US"/>
        </w:rPr>
      </w:pPr>
      <w:r w:rsidRPr="004A74E0">
        <w:rPr>
          <w:rFonts w:eastAsia="Calibri"/>
          <w:i/>
          <w:lang w:eastAsia="en-US"/>
        </w:rPr>
        <w:t>«</w:t>
      </w:r>
      <w:r w:rsidR="00CB12AA">
        <w:rPr>
          <w:i/>
        </w:rPr>
        <w:t>Правовые основы социальной и экономической политики в РФ</w:t>
      </w:r>
      <w:r w:rsidRPr="004A74E0">
        <w:rPr>
          <w:rFonts w:eastAsia="Calibri"/>
          <w:i/>
          <w:lang w:eastAsia="en-US"/>
        </w:rPr>
        <w:t>»</w:t>
      </w: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Уровень высшего образования</w:t>
      </w: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СПЕЦИАЛИТЕТ</w:t>
      </w: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Специальность</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40.05.04 Судебная и прокурорская деятельность</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(код и наименование специальности)</w:t>
      </w:r>
    </w:p>
    <w:p w:rsidR="004A74E0" w:rsidRPr="004A74E0" w:rsidRDefault="00AC1770" w:rsidP="004A74E0">
      <w:pPr>
        <w:suppressAutoHyphens/>
        <w:jc w:val="center"/>
        <w:rPr>
          <w:rFonts w:eastAsia="Calibri"/>
          <w:i/>
          <w:szCs w:val="22"/>
          <w:u w:val="single"/>
          <w:lang w:eastAsia="en-US"/>
        </w:rPr>
      </w:pPr>
      <w:r>
        <w:rPr>
          <w:rFonts w:eastAsia="Calibri"/>
          <w:i/>
          <w:szCs w:val="22"/>
          <w:u w:val="single"/>
          <w:lang w:eastAsia="en-US"/>
        </w:rPr>
        <w:t xml:space="preserve">Судебная </w:t>
      </w:r>
      <w:r w:rsidR="004A74E0" w:rsidRPr="004A74E0">
        <w:rPr>
          <w:rFonts w:eastAsia="Calibri"/>
          <w:i/>
          <w:szCs w:val="22"/>
          <w:u w:val="single"/>
          <w:lang w:eastAsia="en-US"/>
        </w:rPr>
        <w:t xml:space="preserve">деятельность </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4A74E0" w:rsidRPr="004A74E0" w:rsidRDefault="004A74E0" w:rsidP="004A74E0">
      <w:pPr>
        <w:suppressAutoHyphens/>
        <w:jc w:val="center"/>
        <w:rPr>
          <w:rFonts w:eastAsia="Calibri"/>
          <w:szCs w:val="22"/>
          <w:lang w:eastAsia="en-US"/>
        </w:rPr>
      </w:pP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Квалификация</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Юрист</w:t>
      </w:r>
    </w:p>
    <w:p w:rsidR="004A74E0" w:rsidRPr="004A74E0" w:rsidRDefault="004A74E0" w:rsidP="004A74E0">
      <w:pPr>
        <w:suppressAutoHyphens/>
        <w:spacing w:before="120"/>
        <w:jc w:val="center"/>
        <w:rPr>
          <w:rFonts w:eastAsia="Calibri"/>
          <w:szCs w:val="22"/>
          <w:lang w:eastAsia="en-US"/>
        </w:rPr>
      </w:pPr>
      <w:r w:rsidRPr="004A74E0">
        <w:rPr>
          <w:rFonts w:eastAsia="Calibri"/>
          <w:szCs w:val="22"/>
          <w:lang w:eastAsia="en-US"/>
        </w:rPr>
        <w:t>Форма обучения</w:t>
      </w:r>
    </w:p>
    <w:p w:rsidR="004A74E0" w:rsidRPr="004A74E0" w:rsidRDefault="004A74E0" w:rsidP="004A74E0">
      <w:pPr>
        <w:suppressAutoHyphens/>
        <w:spacing w:after="5400"/>
        <w:jc w:val="center"/>
        <w:rPr>
          <w:i/>
          <w:u w:val="single"/>
        </w:rPr>
      </w:pPr>
      <w:r>
        <w:rPr>
          <w:i/>
          <w:u w:val="single"/>
        </w:rPr>
        <w:t>Зао</w:t>
      </w:r>
      <w:r w:rsidRPr="004A74E0">
        <w:rPr>
          <w:i/>
          <w:u w:val="single"/>
        </w:rPr>
        <w:t>чная</w:t>
      </w:r>
    </w:p>
    <w:p w:rsidR="004A74E0" w:rsidRPr="004A74E0" w:rsidRDefault="004A74E0" w:rsidP="004A74E0">
      <w:pPr>
        <w:suppressAutoHyphens/>
        <w:jc w:val="center"/>
        <w:rPr>
          <w:rFonts w:eastAsia="Calibri"/>
          <w:lang w:eastAsia="en-US"/>
        </w:rPr>
      </w:pPr>
    </w:p>
    <w:p w:rsidR="004A74E0" w:rsidRDefault="004A74E0" w:rsidP="004A74E0">
      <w:pPr>
        <w:jc w:val="center"/>
        <w:rPr>
          <w:rFonts w:eastAsia="Calibri"/>
          <w:lang w:eastAsia="en-US"/>
        </w:rPr>
      </w:pPr>
      <w:r w:rsidRPr="004A74E0">
        <w:rPr>
          <w:rFonts w:eastAsia="Calibri"/>
          <w:lang w:eastAsia="en-US"/>
        </w:rPr>
        <w:t>Год набора 2022</w:t>
      </w:r>
      <w:r>
        <w:rPr>
          <w:rFonts w:eastAsia="Calibri"/>
          <w:lang w:eastAsia="en-US"/>
        </w:rPr>
        <w:br w:type="page"/>
      </w:r>
    </w:p>
    <w:p w:rsidR="004269E2" w:rsidRPr="002947AF" w:rsidRDefault="004269E2" w:rsidP="004A74E0">
      <w:pPr>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4A74E0">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CB12AA">
        <w:rPr>
          <w:i/>
        </w:rPr>
        <w:t>Правовые основы социальной и экономической политики в РФ</w:t>
      </w:r>
      <w:bookmarkStart w:id="0" w:name="_GoBack"/>
      <w:bookmarkEnd w:id="0"/>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изучаемого материала с ранее изученным,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2947AF" w:rsidRDefault="00346785" w:rsidP="0084282E">
      <w:pPr>
        <w:ind w:firstLine="708"/>
        <w:jc w:val="both"/>
      </w:pPr>
      <w:r w:rsidRPr="002947AF">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Одной из форм проведения семинаров по является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внутри-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 А</w:t>
      </w:r>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2947AF" w:rsidRDefault="00133FC3" w:rsidP="0084282E">
      <w:pPr>
        <w:ind w:firstLine="709"/>
        <w:jc w:val="both"/>
        <w:rPr>
          <w:color w:val="000000"/>
        </w:rPr>
      </w:pPr>
      <w:r w:rsidRPr="002947A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Резюмирование. </w:t>
      </w:r>
      <w:r w:rsidRPr="002947AF">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Фрагментирование – </w:t>
      </w:r>
      <w:r w:rsidRPr="002947AF">
        <w:rPr>
          <w:color w:val="000000"/>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обучающихся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r w:rsidRPr="002947AF">
        <w:t>обучающихся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r w:rsidR="00271930" w:rsidRPr="002947AF">
        <w:t>брейнсторм,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r w:rsidR="00271930" w:rsidRPr="002947AF">
        <w:t>Case-study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r w:rsidRPr="00EC04F8">
        <w:t>содержание (не меньше трех глав (параграфов)</w:t>
      </w:r>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публикации(издания),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212B3" w:rsidRPr="002947AF" w:rsidRDefault="00D212B3" w:rsidP="00D212B3">
      <w:pPr>
        <w:ind w:firstLine="709"/>
        <w:jc w:val="both"/>
      </w:pPr>
      <w:r w:rsidRPr="002947AF">
        <w:t xml:space="preserve">Основными формами промежуточной аттестации, определяемой ФГОС являются: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сформированности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обучающимся материала, предусмотренного учебной программой по дисциплине: </w:t>
      </w:r>
    </w:p>
    <w:p w:rsidR="00D212B3" w:rsidRPr="002947AF" w:rsidRDefault="00D212B3" w:rsidP="00D212B3">
      <w:pPr>
        <w:ind w:firstLine="709"/>
        <w:jc w:val="both"/>
      </w:pPr>
      <w:r w:rsidRPr="002947AF">
        <w:t xml:space="preserve">- умение обучающегося использовать теоретические знания при выполнении практических задач; </w:t>
      </w:r>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D3A" w:rsidRDefault="00B36D3A" w:rsidP="00E01DB3">
      <w:r>
        <w:separator/>
      </w:r>
    </w:p>
  </w:endnote>
  <w:endnote w:type="continuationSeparator" w:id="0">
    <w:p w:rsidR="00B36D3A" w:rsidRDefault="00B36D3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47" w:rsidRDefault="00A82815">
    <w:pPr>
      <w:pStyle w:val="a7"/>
      <w:jc w:val="center"/>
    </w:pPr>
    <w:r>
      <w:fldChar w:fldCharType="begin"/>
    </w:r>
    <w:r>
      <w:instrText xml:space="preserve"> PAGE   \* MERGEFORMAT </w:instrText>
    </w:r>
    <w:r>
      <w:fldChar w:fldCharType="separate"/>
    </w:r>
    <w:r w:rsidR="00CB12AA">
      <w:rPr>
        <w:noProof/>
      </w:rPr>
      <w:t>4</w:t>
    </w:r>
    <w:r>
      <w:rPr>
        <w:noProof/>
      </w:rPr>
      <w:fldChar w:fldCharType="end"/>
    </w:r>
  </w:p>
  <w:p w:rsidR="009F1947" w:rsidRDefault="009F19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D3A" w:rsidRDefault="00B36D3A" w:rsidP="00E01DB3">
      <w:r>
        <w:separator/>
      </w:r>
    </w:p>
  </w:footnote>
  <w:footnote w:type="continuationSeparator" w:id="0">
    <w:p w:rsidR="00B36D3A" w:rsidRDefault="00B36D3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C4E"/>
    <w:rsid w:val="00025DC1"/>
    <w:rsid w:val="00044DF5"/>
    <w:rsid w:val="00061F57"/>
    <w:rsid w:val="00063DF2"/>
    <w:rsid w:val="00072907"/>
    <w:rsid w:val="000D40E4"/>
    <w:rsid w:val="000F7139"/>
    <w:rsid w:val="0011465B"/>
    <w:rsid w:val="00133FC3"/>
    <w:rsid w:val="001347AE"/>
    <w:rsid w:val="001436FB"/>
    <w:rsid w:val="0016127A"/>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A74E0"/>
    <w:rsid w:val="004F0C5C"/>
    <w:rsid w:val="00512DDC"/>
    <w:rsid w:val="00543BA5"/>
    <w:rsid w:val="005562B3"/>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3AD7"/>
    <w:rsid w:val="00937103"/>
    <w:rsid w:val="00943F2B"/>
    <w:rsid w:val="00963FE8"/>
    <w:rsid w:val="009674BA"/>
    <w:rsid w:val="009C7D11"/>
    <w:rsid w:val="009F174B"/>
    <w:rsid w:val="009F1947"/>
    <w:rsid w:val="009F79AB"/>
    <w:rsid w:val="00A116CD"/>
    <w:rsid w:val="00A22803"/>
    <w:rsid w:val="00A230C9"/>
    <w:rsid w:val="00A82815"/>
    <w:rsid w:val="00AC1770"/>
    <w:rsid w:val="00AD3C55"/>
    <w:rsid w:val="00B0360B"/>
    <w:rsid w:val="00B26B10"/>
    <w:rsid w:val="00B36D3A"/>
    <w:rsid w:val="00B51C3A"/>
    <w:rsid w:val="00B54789"/>
    <w:rsid w:val="00B63DB3"/>
    <w:rsid w:val="00B750ED"/>
    <w:rsid w:val="00BB0C1F"/>
    <w:rsid w:val="00BF5AA1"/>
    <w:rsid w:val="00C25187"/>
    <w:rsid w:val="00C31609"/>
    <w:rsid w:val="00CB12AA"/>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DF9888-5EEB-46C2-BAEB-DBB873CA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12821</Words>
  <Characters>73081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85731</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2022-04-28T09:27:00Z</dcterms:created>
  <dcterms:modified xsi:type="dcterms:W3CDTF">2022-04-28T09:27:00Z</dcterms:modified>
</cp:coreProperties>
</file>