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DC12AB" w:rsidRDefault="00DC12AB" w:rsidP="00DC12A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Информатика»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12AB" w:rsidRDefault="00DC12AB" w:rsidP="00DC12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DC12AB" w:rsidRDefault="00DC12AB" w:rsidP="00DC12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4B1A" w:rsidRPr="00CD4B1A" w:rsidRDefault="00CD4B1A" w:rsidP="00CD4B1A">
      <w:pPr>
        <w:pStyle w:val="ReportHead"/>
        <w:suppressAutoHyphens/>
        <w:rPr>
          <w:i/>
          <w:sz w:val="24"/>
          <w:szCs w:val="24"/>
          <w:u w:val="single"/>
        </w:rPr>
      </w:pPr>
      <w:bookmarkStart w:id="0" w:name="_GoBack"/>
      <w:r w:rsidRPr="00CD4B1A">
        <w:rPr>
          <w:i/>
          <w:sz w:val="24"/>
          <w:szCs w:val="24"/>
          <w:u w:val="single"/>
        </w:rPr>
        <w:t>Финансы государства и бизнеса</w:t>
      </w:r>
    </w:p>
    <w:bookmarkEnd w:id="0"/>
    <w:p w:rsidR="00EE384C" w:rsidRDefault="00EE384C" w:rsidP="00EE38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357BEA" w:rsidRDefault="00357BEA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361944">
        <w:rPr>
          <w:sz w:val="24"/>
        </w:rPr>
        <w:t>2</w:t>
      </w:r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71277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71277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71277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71277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71277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456A2A">
        <w:rPr>
          <w:sz w:val="24"/>
          <w:szCs w:val="24"/>
        </w:rPr>
        <w:t>нспекте и сделать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погружает обучаемого в изучаемый материал и актуализирует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асинхронно. 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в реферате. Далее анализируется, обрабатывается и обобщается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712387233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712387234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712387235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712387236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712387237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712387238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77" w:rsidRDefault="00712777" w:rsidP="00EE384C">
      <w:pPr>
        <w:spacing w:after="0" w:line="240" w:lineRule="auto"/>
      </w:pPr>
      <w:r>
        <w:separator/>
      </w:r>
    </w:p>
  </w:endnote>
  <w:endnote w:type="continuationSeparator" w:id="0">
    <w:p w:rsidR="00712777" w:rsidRDefault="00712777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D4B1A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77" w:rsidRDefault="00712777" w:rsidP="00EE384C">
      <w:pPr>
        <w:spacing w:after="0" w:line="240" w:lineRule="auto"/>
      </w:pPr>
      <w:r>
        <w:separator/>
      </w:r>
    </w:p>
  </w:footnote>
  <w:footnote w:type="continuationSeparator" w:id="0">
    <w:p w:rsidR="00712777" w:rsidRDefault="00712777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6C3E"/>
    <w:rsid w:val="00112E68"/>
    <w:rsid w:val="00134C76"/>
    <w:rsid w:val="00177A87"/>
    <w:rsid w:val="001D2698"/>
    <w:rsid w:val="002056EC"/>
    <w:rsid w:val="00253FC5"/>
    <w:rsid w:val="0027194A"/>
    <w:rsid w:val="00271B48"/>
    <w:rsid w:val="002E0DCD"/>
    <w:rsid w:val="00306851"/>
    <w:rsid w:val="003159CD"/>
    <w:rsid w:val="003322CA"/>
    <w:rsid w:val="00357BEA"/>
    <w:rsid w:val="00361944"/>
    <w:rsid w:val="003A550D"/>
    <w:rsid w:val="00401F10"/>
    <w:rsid w:val="0040485A"/>
    <w:rsid w:val="00404D92"/>
    <w:rsid w:val="00422388"/>
    <w:rsid w:val="00456A2A"/>
    <w:rsid w:val="004635F3"/>
    <w:rsid w:val="00464C15"/>
    <w:rsid w:val="004E1D5B"/>
    <w:rsid w:val="004F0032"/>
    <w:rsid w:val="00504782"/>
    <w:rsid w:val="0058446C"/>
    <w:rsid w:val="005C4546"/>
    <w:rsid w:val="005D225F"/>
    <w:rsid w:val="005D6596"/>
    <w:rsid w:val="006F4D29"/>
    <w:rsid w:val="00712777"/>
    <w:rsid w:val="0078298C"/>
    <w:rsid w:val="00792B1C"/>
    <w:rsid w:val="007A5998"/>
    <w:rsid w:val="007C0C13"/>
    <w:rsid w:val="007D5D77"/>
    <w:rsid w:val="007D6D89"/>
    <w:rsid w:val="00804073"/>
    <w:rsid w:val="008050A2"/>
    <w:rsid w:val="00854F10"/>
    <w:rsid w:val="00863E3B"/>
    <w:rsid w:val="00891753"/>
    <w:rsid w:val="008A063E"/>
    <w:rsid w:val="008B1E47"/>
    <w:rsid w:val="0092541C"/>
    <w:rsid w:val="00955A13"/>
    <w:rsid w:val="00990B35"/>
    <w:rsid w:val="009A5749"/>
    <w:rsid w:val="009A688B"/>
    <w:rsid w:val="009B09C0"/>
    <w:rsid w:val="009F4CDD"/>
    <w:rsid w:val="00A90369"/>
    <w:rsid w:val="00AA6A9F"/>
    <w:rsid w:val="00AF4FEF"/>
    <w:rsid w:val="00AF5F8F"/>
    <w:rsid w:val="00B11110"/>
    <w:rsid w:val="00B15DAB"/>
    <w:rsid w:val="00B3662D"/>
    <w:rsid w:val="00B77B26"/>
    <w:rsid w:val="00BD533F"/>
    <w:rsid w:val="00C41527"/>
    <w:rsid w:val="00CB6CA6"/>
    <w:rsid w:val="00CD4B1A"/>
    <w:rsid w:val="00D21DBE"/>
    <w:rsid w:val="00D36CE5"/>
    <w:rsid w:val="00DA143F"/>
    <w:rsid w:val="00DA3FC5"/>
    <w:rsid w:val="00DA4E75"/>
    <w:rsid w:val="00DC12AB"/>
    <w:rsid w:val="00DE62C6"/>
    <w:rsid w:val="00E14902"/>
    <w:rsid w:val="00E47172"/>
    <w:rsid w:val="00E663F1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C198-19D0-46CE-A171-696A4C14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4345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70</cp:revision>
  <cp:lastPrinted>2019-05-21T03:21:00Z</cp:lastPrinted>
  <dcterms:created xsi:type="dcterms:W3CDTF">2019-04-10T06:30:00Z</dcterms:created>
  <dcterms:modified xsi:type="dcterms:W3CDTF">2022-04-25T05:21:00Z</dcterms:modified>
</cp:coreProperties>
</file>