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955EC7" w:rsidRDefault="00955EC7" w:rsidP="00955EC7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«Клиническая психология»</w:t>
      </w:r>
    </w:p>
    <w:p w:rsidR="00955EC7" w:rsidRDefault="00955EC7" w:rsidP="00955EC7">
      <w:pPr>
        <w:pStyle w:val="ReportHead"/>
        <w:suppressAutoHyphens/>
        <w:rPr>
          <w:sz w:val="24"/>
        </w:rPr>
      </w:pPr>
    </w:p>
    <w:p w:rsidR="00955EC7" w:rsidRDefault="00955EC7" w:rsidP="00955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55EC7" w:rsidRDefault="00955EC7" w:rsidP="00955E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955EC7" w:rsidRDefault="00955EC7" w:rsidP="00955EC7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955EC7" w:rsidRDefault="00955EC7" w:rsidP="00955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37.05.02 Психология служебной деятельности</w:t>
      </w:r>
    </w:p>
    <w:p w:rsidR="00955EC7" w:rsidRDefault="00955EC7" w:rsidP="00955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955EC7" w:rsidRDefault="00955EC7" w:rsidP="00955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Психологическое обеспечение служебной деятельности сотрудников правоохранительных органов</w:t>
      </w:r>
    </w:p>
    <w:p w:rsidR="00955EC7" w:rsidRDefault="00955EC7" w:rsidP="00955E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55EC7" w:rsidRDefault="00955EC7" w:rsidP="00955EC7">
      <w:pPr>
        <w:pStyle w:val="ReportHead"/>
        <w:suppressAutoHyphens/>
        <w:rPr>
          <w:sz w:val="24"/>
        </w:rPr>
      </w:pPr>
    </w:p>
    <w:p w:rsidR="00955EC7" w:rsidRDefault="00955EC7" w:rsidP="00955EC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55EC7" w:rsidRDefault="00955EC7" w:rsidP="00955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</w:t>
      </w:r>
    </w:p>
    <w:p w:rsidR="00955EC7" w:rsidRDefault="00955EC7" w:rsidP="00955EC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55EC7" w:rsidRDefault="00955EC7" w:rsidP="00955E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E13F3D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</w:t>
      </w:r>
      <w:r w:rsidR="00861B9E">
        <w:t>2</w:t>
      </w:r>
      <w:r w:rsidR="0029508E">
        <w:t>2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</w:t>
      </w:r>
      <w:r w:rsidR="00955EC7">
        <w:rPr>
          <w:rFonts w:eastAsia="Calibri"/>
          <w:sz w:val="28"/>
          <w:szCs w:val="28"/>
          <w:lang w:eastAsia="en-US"/>
        </w:rPr>
        <w:t xml:space="preserve"> Клиническая психология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</w:t>
      </w:r>
      <w:r w:rsidR="0029508E">
        <w:rPr>
          <w:rFonts w:eastAsia="Calibri"/>
          <w:sz w:val="28"/>
          <w:szCs w:val="28"/>
          <w:lang w:eastAsia="en-US"/>
        </w:rPr>
        <w:t>1946528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29508E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 w:rsidR="00861B9E">
              <w:rPr>
                <w:sz w:val="24"/>
              </w:rPr>
              <w:t>2</w:t>
            </w:r>
            <w:r w:rsidR="0029508E">
              <w:rPr>
                <w:sz w:val="24"/>
              </w:rPr>
              <w:t>2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29508E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ОГУ, </w:t>
            </w:r>
            <w:r w:rsidR="0052713B">
              <w:rPr>
                <w:sz w:val="24"/>
              </w:rPr>
              <w:t>20</w:t>
            </w:r>
            <w:r w:rsidR="00861B9E">
              <w:rPr>
                <w:sz w:val="24"/>
              </w:rPr>
              <w:t>2</w:t>
            </w:r>
            <w:r w:rsidR="0029508E">
              <w:rPr>
                <w:sz w:val="24"/>
              </w:rPr>
              <w:t>2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47"/>
        <w:gridCol w:w="438"/>
      </w:tblGrid>
      <w:tr w:rsidR="004269E2" w:rsidTr="00964483">
        <w:tc>
          <w:tcPr>
            <w:tcW w:w="9747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438" w:type="dxa"/>
            <w:vAlign w:val="bottom"/>
          </w:tcPr>
          <w:p w:rsidR="004269E2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64483">
        <w:tc>
          <w:tcPr>
            <w:tcW w:w="9747" w:type="dxa"/>
            <w:hideMark/>
          </w:tcPr>
          <w:p w:rsidR="004269E2" w:rsidRDefault="004269E2" w:rsidP="00964483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практическим занятиям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269E2" w:rsidTr="00925F3C">
        <w:tc>
          <w:tcPr>
            <w:tcW w:w="9747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…..………….....</w:t>
            </w:r>
          </w:p>
        </w:tc>
        <w:tc>
          <w:tcPr>
            <w:tcW w:w="438" w:type="dxa"/>
            <w:vAlign w:val="bottom"/>
          </w:tcPr>
          <w:p w:rsidR="004269E2" w:rsidRPr="00A22803" w:rsidRDefault="004269E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964483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964483" w:rsidTr="00925F3C">
        <w:tc>
          <w:tcPr>
            <w:tcW w:w="9747" w:type="dxa"/>
          </w:tcPr>
          <w:p w:rsidR="00964483" w:rsidRDefault="00964483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реферата………………………….</w:t>
            </w:r>
          </w:p>
        </w:tc>
        <w:tc>
          <w:tcPr>
            <w:tcW w:w="438" w:type="dxa"/>
            <w:vAlign w:val="bottom"/>
          </w:tcPr>
          <w:p w:rsidR="00964483" w:rsidRPr="00A22803" w:rsidRDefault="0096448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4D2594" w:rsidTr="00925F3C">
        <w:tc>
          <w:tcPr>
            <w:tcW w:w="9747" w:type="dxa"/>
          </w:tcPr>
          <w:p w:rsidR="004D2594" w:rsidRDefault="004D2594" w:rsidP="00964483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3.3 Методические указания по </w:t>
            </w:r>
            <w:r w:rsidR="004B6E4F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96448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B6E4F">
              <w:rPr>
                <w:color w:val="000000"/>
                <w:spacing w:val="7"/>
                <w:sz w:val="28"/>
                <w:szCs w:val="28"/>
              </w:rPr>
              <w:t xml:space="preserve"> занятиям………</w:t>
            </w:r>
          </w:p>
        </w:tc>
        <w:tc>
          <w:tcPr>
            <w:tcW w:w="438" w:type="dxa"/>
            <w:vAlign w:val="bottom"/>
          </w:tcPr>
          <w:p w:rsidR="004D2594" w:rsidRPr="00A22803" w:rsidRDefault="004D2594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  <w:tr w:rsidR="00A22803" w:rsidTr="00925F3C">
        <w:tc>
          <w:tcPr>
            <w:tcW w:w="9747" w:type="dxa"/>
          </w:tcPr>
          <w:p w:rsidR="00A22803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дисциплине</w:t>
            </w:r>
            <w:r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438" w:type="dxa"/>
            <w:vAlign w:val="bottom"/>
          </w:tcPr>
          <w:p w:rsidR="00A22803" w:rsidRPr="00A22803" w:rsidRDefault="00A22803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964483">
        <w:rPr>
          <w:sz w:val="28"/>
          <w:szCs w:val="28"/>
        </w:rPr>
        <w:t>Клиническая психология</w:t>
      </w:r>
      <w:r w:rsidRPr="00134D01">
        <w:rPr>
          <w:sz w:val="28"/>
          <w:szCs w:val="28"/>
        </w:rPr>
        <w:t>» ориентирован прежде всего на формирование структурированных представлений о</w:t>
      </w:r>
      <w:r w:rsidR="00DD35D4">
        <w:rPr>
          <w:sz w:val="28"/>
          <w:szCs w:val="28"/>
        </w:rPr>
        <w:t xml:space="preserve"> выявленных и разработанных методах психологического воздействия на человека, группу людей, демонстрирующих рискованное и/или асоциальное поведение с учетом возраста</w:t>
      </w:r>
      <w:r>
        <w:rPr>
          <w:sz w:val="28"/>
          <w:szCs w:val="28"/>
        </w:rPr>
        <w:t xml:space="preserve">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964483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 xml:space="preserve">, поэтому важно запоминание не только на уровне терминов, но и правильное их соотнесение с примерами, которые иллюстрируют тот или иной симптом, то или иное проявление неблагополучия в социально-психологическом функционировании человека.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Логика построения лекционных занятий – дедуктивная. Первоначально</w:t>
      </w:r>
      <w:r w:rsidR="00964483">
        <w:rPr>
          <w:sz w:val="28"/>
          <w:szCs w:val="28"/>
        </w:rPr>
        <w:t xml:space="preserve"> изучаются теоретико-методологические основания современной клинической психологии, симптомы расстройств психического функционирования человека. Далее вводится понятие синдрома, и, в соответствии с основными отраслями современной клинической психологии: психопатологией, патопсихологией и нейропсихологией расматривается  группирование симптомов по означенным группам синдромов. </w:t>
      </w:r>
      <w:r w:rsidRPr="00134D01">
        <w:rPr>
          <w:sz w:val="28"/>
          <w:szCs w:val="28"/>
        </w:rPr>
        <w:t xml:space="preserve">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В темах, которые раскрывают содержание, признаки и вид</w:t>
      </w:r>
      <w:r>
        <w:rPr>
          <w:sz w:val="28"/>
          <w:szCs w:val="28"/>
        </w:rPr>
        <w:t>ы</w:t>
      </w:r>
      <w:r w:rsidRPr="00134D01">
        <w:rPr>
          <w:sz w:val="28"/>
          <w:szCs w:val="28"/>
        </w:rPr>
        <w:t xml:space="preserve"> расстройств психических процессов, предполагается, что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</w:t>
      </w:r>
      <w:r w:rsidRPr="00134D01">
        <w:rPr>
          <w:sz w:val="28"/>
          <w:szCs w:val="28"/>
        </w:rPr>
        <w:lastRenderedPageBreak/>
        <w:t xml:space="preserve">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964483" w:rsidRPr="00134D01" w:rsidRDefault="00964483" w:rsidP="00964483">
      <w:pPr>
        <w:ind w:firstLine="709"/>
        <w:jc w:val="both"/>
        <w:rPr>
          <w:sz w:val="28"/>
          <w:szCs w:val="28"/>
        </w:rPr>
      </w:pPr>
      <w:r w:rsidRPr="00134D01">
        <w:rPr>
          <w:color w:val="000000"/>
          <w:sz w:val="28"/>
          <w:szCs w:val="28"/>
        </w:rPr>
        <w:t>Лекционные занятия обеспечиваются видеоматериалами клинических разборов боль</w:t>
      </w:r>
      <w:r>
        <w:rPr>
          <w:color w:val="000000"/>
          <w:sz w:val="28"/>
          <w:szCs w:val="28"/>
        </w:rPr>
        <w:t xml:space="preserve">ных с различными расстройствами, что позволяет сформировать не только структурированные, но и конкретные, практико </w:t>
      </w:r>
      <w:r w:rsidR="0029508E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ориентированные представления о рассматриваемых в рамках дисциплины расстройствах. </w:t>
      </w:r>
    </w:p>
    <w:p w:rsidR="00155430" w:rsidRDefault="004C0D11" w:rsidP="004C0D11">
      <w:pPr>
        <w:ind w:firstLine="709"/>
        <w:jc w:val="both"/>
        <w:rPr>
          <w:color w:val="000000"/>
          <w:sz w:val="28"/>
          <w:szCs w:val="28"/>
        </w:rPr>
      </w:pPr>
      <w:r w:rsidRPr="00134D01">
        <w:rPr>
          <w:color w:val="000000"/>
          <w:sz w:val="28"/>
          <w:szCs w:val="28"/>
        </w:rPr>
        <w:t>Лекционные занятия обеспечиваются видеоматериалами</w:t>
      </w:r>
      <w:r w:rsidR="00155430">
        <w:rPr>
          <w:color w:val="000000"/>
          <w:sz w:val="28"/>
          <w:szCs w:val="28"/>
        </w:rPr>
        <w:t xml:space="preserve"> по применению разнообразных методов, приёмов и техник психологического </w:t>
      </w:r>
      <w:r w:rsidR="003154F6">
        <w:rPr>
          <w:color w:val="000000"/>
          <w:sz w:val="28"/>
          <w:szCs w:val="28"/>
        </w:rPr>
        <w:t>воздействия</w:t>
      </w:r>
      <w:r>
        <w:rPr>
          <w:color w:val="000000"/>
          <w:sz w:val="28"/>
          <w:szCs w:val="28"/>
        </w:rPr>
        <w:t>, что позволяет сформировать не только структурирова</w:t>
      </w:r>
      <w:r w:rsidR="00155430">
        <w:rPr>
          <w:color w:val="000000"/>
          <w:sz w:val="28"/>
          <w:szCs w:val="28"/>
        </w:rPr>
        <w:t>нные, но и конкретные, практико-</w:t>
      </w:r>
      <w:r>
        <w:rPr>
          <w:color w:val="000000"/>
          <w:sz w:val="28"/>
          <w:szCs w:val="28"/>
        </w:rPr>
        <w:t xml:space="preserve">ориентированные представления о рассматриваемых </w:t>
      </w:r>
      <w:r w:rsidR="00155430">
        <w:rPr>
          <w:color w:val="000000"/>
          <w:sz w:val="28"/>
          <w:szCs w:val="28"/>
        </w:rPr>
        <w:t xml:space="preserve"> методах.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Лекционный материал 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выделять значимую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Положительное влияние на качество освоение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716339">
        <w:rPr>
          <w:b/>
          <w:color w:val="000000"/>
          <w:spacing w:val="7"/>
          <w:sz w:val="28"/>
          <w:szCs w:val="28"/>
        </w:rPr>
        <w:t>практическим</w:t>
      </w:r>
      <w:r w:rsidR="004B6E4F">
        <w:rPr>
          <w:b/>
          <w:color w:val="000000"/>
          <w:spacing w:val="7"/>
          <w:sz w:val="28"/>
          <w:szCs w:val="28"/>
        </w:rPr>
        <w:t xml:space="preserve"> занятиям</w:t>
      </w:r>
      <w:r w:rsidRPr="00134D01">
        <w:rPr>
          <w:b/>
          <w:color w:val="000000"/>
          <w:spacing w:val="7"/>
          <w:sz w:val="28"/>
          <w:szCs w:val="28"/>
        </w:rPr>
        <w:t xml:space="preserve"> 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Практические</w:t>
      </w:r>
      <w:r w:rsidR="004B6E4F">
        <w:rPr>
          <w:sz w:val="28"/>
          <w:szCs w:val="28"/>
        </w:rPr>
        <w:t xml:space="preserve"> </w:t>
      </w:r>
      <w:r w:rsidR="004C0D11">
        <w:rPr>
          <w:sz w:val="28"/>
          <w:szCs w:val="28"/>
        </w:rPr>
        <w:t>занятия по курсу «</w:t>
      </w:r>
      <w:r>
        <w:rPr>
          <w:sz w:val="28"/>
          <w:szCs w:val="28"/>
        </w:rPr>
        <w:t>Клиническая психология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716339">
        <w:rPr>
          <w:sz w:val="28"/>
          <w:szCs w:val="28"/>
        </w:rPr>
        <w:t>практическое</w:t>
      </w:r>
      <w:r w:rsidR="004B6E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занятие строится по плану схеме: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устный опрос по теме занятия</w:t>
      </w:r>
      <w:r>
        <w:rPr>
          <w:sz w:val="28"/>
          <w:szCs w:val="28"/>
        </w:rPr>
        <w:t xml:space="preserve">;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16339">
        <w:rPr>
          <w:sz w:val="28"/>
          <w:szCs w:val="28"/>
        </w:rPr>
        <w:t xml:space="preserve"> заполнение таблиц соответствий</w:t>
      </w:r>
      <w:r>
        <w:rPr>
          <w:sz w:val="28"/>
          <w:szCs w:val="28"/>
        </w:rPr>
        <w:t xml:space="preserve">; </w:t>
      </w:r>
    </w:p>
    <w:p w:rsidR="00155430" w:rsidRDefault="00716339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демонстрация иллюстративного (медиа) материала для тренировки навыков квалификации признаков психического неблагополучия и симптомов/синдромов психического неблагополучия. </w:t>
      </w:r>
      <w:r w:rsidR="00155430">
        <w:rPr>
          <w:sz w:val="28"/>
          <w:szCs w:val="28"/>
        </w:rPr>
        <w:t xml:space="preserve"> </w:t>
      </w:r>
    </w:p>
    <w:p w:rsidR="00155430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Первая часть схемы </w:t>
      </w:r>
      <w:r w:rsidR="004B6E4F">
        <w:rPr>
          <w:sz w:val="28"/>
          <w:szCs w:val="28"/>
        </w:rPr>
        <w:t xml:space="preserve">лабораторного </w:t>
      </w:r>
      <w:r>
        <w:rPr>
          <w:sz w:val="28"/>
          <w:szCs w:val="28"/>
        </w:rPr>
        <w:t xml:space="preserve">занятия требует обращения к ряду произведений художественной литературы, классики киноискусства, современной кинопродукции. </w:t>
      </w:r>
    </w:p>
    <w:p w:rsidR="00987137" w:rsidRDefault="00716339" w:rsidP="0098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Таблицы для реализации второго этапа плана – схемы доступны студенту в электронном курсе по данной дисциплине. </w:t>
      </w:r>
      <w:r w:rsidR="009871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примера приводим одну из таких таблиц «Расстройства внимания». </w:t>
      </w:r>
    </w:p>
    <w:p w:rsidR="00987137" w:rsidRDefault="00987137" w:rsidP="00987137">
      <w:pPr>
        <w:ind w:firstLine="709"/>
        <w:jc w:val="both"/>
        <w:rPr>
          <w:sz w:val="28"/>
          <w:szCs w:val="28"/>
        </w:rPr>
      </w:pPr>
    </w:p>
    <w:p w:rsidR="00716339" w:rsidRPr="00701269" w:rsidRDefault="00716339" w:rsidP="00716339">
      <w:pPr>
        <w:rPr>
          <w:b/>
          <w:sz w:val="28"/>
          <w:szCs w:val="28"/>
        </w:rPr>
      </w:pPr>
      <w:r w:rsidRPr="00701269">
        <w:rPr>
          <w:b/>
          <w:sz w:val="28"/>
          <w:szCs w:val="28"/>
        </w:rPr>
        <w:t xml:space="preserve">Таблица Расстройства внимания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3"/>
        <w:gridCol w:w="2153"/>
        <w:gridCol w:w="2951"/>
        <w:gridCol w:w="1868"/>
      </w:tblGrid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>Симптом нарушения внимания</w:t>
            </w:r>
          </w:p>
        </w:tc>
        <w:tc>
          <w:tcPr>
            <w:tcW w:w="3903" w:type="dxa"/>
          </w:tcPr>
          <w:p w:rsidR="00716339" w:rsidRPr="00716339" w:rsidRDefault="00716339" w:rsidP="00F525A5">
            <w:r w:rsidRPr="00716339">
              <w:t xml:space="preserve">Страдающая характеристика внимания </w:t>
            </w:r>
          </w:p>
        </w:tc>
        <w:tc>
          <w:tcPr>
            <w:tcW w:w="3904" w:type="dxa"/>
          </w:tcPr>
          <w:p w:rsidR="00716339" w:rsidRPr="00716339" w:rsidRDefault="00716339" w:rsidP="00F525A5">
            <w:r w:rsidRPr="00716339">
              <w:t>Встречается при синдромах/заболеваниях</w:t>
            </w:r>
          </w:p>
        </w:tc>
        <w:tc>
          <w:tcPr>
            <w:tcW w:w="3904" w:type="dxa"/>
          </w:tcPr>
          <w:p w:rsidR="00716339" w:rsidRPr="00716339" w:rsidRDefault="00716339" w:rsidP="00F525A5">
            <w:r w:rsidRPr="00716339">
              <w:t xml:space="preserve">Симптом проявляется в виде </w:t>
            </w:r>
          </w:p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 xml:space="preserve">Гиперпрозексия 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>Гипопрозексия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 xml:space="preserve">Гиперметаморфоз 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>Застреваемость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 xml:space="preserve">Слабая распределяемость внимания 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>Модально-специфические нарушения внимания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  <w:tr w:rsidR="00716339" w:rsidTr="00F525A5">
        <w:tc>
          <w:tcPr>
            <w:tcW w:w="3903" w:type="dxa"/>
          </w:tcPr>
          <w:p w:rsidR="00716339" w:rsidRPr="00716339" w:rsidRDefault="00716339" w:rsidP="00F525A5">
            <w:r w:rsidRPr="00716339">
              <w:t xml:space="preserve">Модально-неспецифические нарушения внимания </w:t>
            </w:r>
          </w:p>
        </w:tc>
        <w:tc>
          <w:tcPr>
            <w:tcW w:w="3903" w:type="dxa"/>
          </w:tcPr>
          <w:p w:rsidR="00716339" w:rsidRPr="00716339" w:rsidRDefault="00716339" w:rsidP="00F525A5"/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  <w:tc>
          <w:tcPr>
            <w:tcW w:w="3904" w:type="dxa"/>
          </w:tcPr>
          <w:p w:rsidR="00716339" w:rsidRPr="00716339" w:rsidRDefault="00716339" w:rsidP="00F525A5"/>
        </w:tc>
      </w:tr>
    </w:tbl>
    <w:p w:rsidR="00987137" w:rsidRDefault="00716339" w:rsidP="00987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зависимости от темы и от условий использования иллюстративного (медиа) материала он может быть доступен студентам в электронном виде, либо демонстрироваться и обсуждаться исключительно на занятии.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716339">
        <w:rPr>
          <w:sz w:val="28"/>
          <w:szCs w:val="28"/>
        </w:rPr>
        <w:t>практическому</w:t>
      </w:r>
      <w:r w:rsidR="001C4CA6">
        <w:rPr>
          <w:sz w:val="28"/>
          <w:szCs w:val="28"/>
        </w:rPr>
        <w:t xml:space="preserve"> 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716339">
        <w:rPr>
          <w:sz w:val="28"/>
          <w:szCs w:val="28"/>
        </w:rPr>
        <w:t xml:space="preserve">практическим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="0002063B">
        <w:rPr>
          <w:sz w:val="28"/>
          <w:szCs w:val="28"/>
        </w:rPr>
        <w:t xml:space="preserve"> занятия включают как изложение студентом информации, котор</w:t>
      </w:r>
      <w:r w:rsidR="00387CB3">
        <w:rPr>
          <w:sz w:val="28"/>
          <w:szCs w:val="28"/>
        </w:rPr>
        <w:t>ую</w:t>
      </w:r>
      <w:r w:rsidR="0002063B">
        <w:rPr>
          <w:sz w:val="28"/>
          <w:szCs w:val="28"/>
        </w:rPr>
        <w:t xml:space="preserve"> извлёк из самых разнообразных источников при подготовке к практическим занятиям, так и освоение некоторых навыков, релевантных конкретной теме практического занятия.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716339">
        <w:rPr>
          <w:sz w:val="28"/>
          <w:szCs w:val="28"/>
        </w:rPr>
        <w:t>практического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716339" w:rsidRDefault="00716339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Ряд практических занятий предусматривает освоение навыков проведения психодиагностических исследований, традиционно использующихся в экспериментально-психологических исследований в рамках судебно-психиатрической практики. В этом случае отсутствие студента на занятии существенно осложняет возможности приобретения им необходимых навыков, так как обучение проводиться с помощью сертифицированного психодиагностического инструментария. </w:t>
      </w:r>
      <w:r w:rsidR="00AD2CF3">
        <w:rPr>
          <w:sz w:val="28"/>
          <w:szCs w:val="28"/>
        </w:rPr>
        <w:t>В процессе данных занятий студент не только наблюдает, но и выступает как в качестве респондента, так и в качестве специалиста при проведении психодиагностического исследования. Групповая форма занятия в \этом случае обеспечивает возможность наблюдения за вариациями выполнения однотипных заданий разными людьми, и</w:t>
      </w:r>
      <w:r w:rsidR="0030283A">
        <w:rPr>
          <w:sz w:val="28"/>
          <w:szCs w:val="28"/>
        </w:rPr>
        <w:t>,</w:t>
      </w:r>
      <w:r w:rsidR="00AD2CF3">
        <w:rPr>
          <w:sz w:val="28"/>
          <w:szCs w:val="28"/>
        </w:rPr>
        <w:t xml:space="preserve"> следовательно, позволяет сформировать эмпирическую базу для развития, закрепления и верификации навыков анализа данных психодиагностического исследования. </w:t>
      </w:r>
    </w:p>
    <w:p w:rsidR="00AD2CF3" w:rsidRDefault="00AD2CF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навыки формируются быстрее и прочнее в случае, если в рамках практического занятия студент следует инструкциям преподавателя и систематизирует наблюдения по алгоритмам, предложенным в качестве методического материала.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студента, согласно учебному плану </w:t>
      </w:r>
      <w:r w:rsidR="00AD2CF3">
        <w:rPr>
          <w:sz w:val="28"/>
          <w:szCs w:val="28"/>
        </w:rPr>
        <w:t xml:space="preserve">специальности </w:t>
      </w:r>
      <w:r>
        <w:rPr>
          <w:sz w:val="28"/>
          <w:szCs w:val="28"/>
        </w:rPr>
        <w:t>37.0</w:t>
      </w:r>
      <w:r w:rsidR="00AD2CF3">
        <w:rPr>
          <w:sz w:val="28"/>
          <w:szCs w:val="28"/>
        </w:rPr>
        <w:t>5</w:t>
      </w:r>
      <w:r>
        <w:rPr>
          <w:sz w:val="28"/>
          <w:szCs w:val="28"/>
        </w:rPr>
        <w:t>.0</w:t>
      </w:r>
      <w:r w:rsidR="00AD2CF3">
        <w:rPr>
          <w:sz w:val="28"/>
          <w:szCs w:val="28"/>
        </w:rPr>
        <w:t>2</w:t>
      </w:r>
      <w:r>
        <w:rPr>
          <w:sz w:val="28"/>
          <w:szCs w:val="28"/>
        </w:rPr>
        <w:t xml:space="preserve"> «Психология</w:t>
      </w:r>
      <w:r w:rsidR="00AD2CF3">
        <w:rPr>
          <w:sz w:val="28"/>
          <w:szCs w:val="28"/>
        </w:rPr>
        <w:t xml:space="preserve"> служебной деятельности</w:t>
      </w:r>
      <w:r>
        <w:rPr>
          <w:sz w:val="28"/>
          <w:szCs w:val="28"/>
        </w:rPr>
        <w:t>» профиля очной формы обучения для 20</w:t>
      </w:r>
      <w:r w:rsidR="00825D01">
        <w:rPr>
          <w:sz w:val="28"/>
          <w:szCs w:val="28"/>
        </w:rPr>
        <w:t>2</w:t>
      </w:r>
      <w:r w:rsidR="00351F2E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4B6E4F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AD2CF3">
        <w:rPr>
          <w:sz w:val="28"/>
          <w:szCs w:val="28"/>
        </w:rPr>
        <w:t>Клиническая психология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2063B">
        <w:rPr>
          <w:sz w:val="28"/>
          <w:szCs w:val="28"/>
        </w:rPr>
        <w:t xml:space="preserve">. Выполнение индивидуального творческого задания. </w:t>
      </w:r>
    </w:p>
    <w:p w:rsidR="00987137" w:rsidRDefault="0098713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D2CF3">
        <w:rPr>
          <w:sz w:val="28"/>
          <w:szCs w:val="28"/>
        </w:rPr>
        <w:t>Написание реферата</w:t>
      </w:r>
      <w:r>
        <w:rPr>
          <w:sz w:val="28"/>
          <w:szCs w:val="28"/>
        </w:rPr>
        <w:t xml:space="preserve">. </w:t>
      </w:r>
    </w:p>
    <w:p w:rsidR="004B6E4F" w:rsidRDefault="004B6E4F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Подготовку к </w:t>
      </w:r>
      <w:r w:rsidR="00AD2CF3">
        <w:rPr>
          <w:sz w:val="28"/>
          <w:szCs w:val="28"/>
        </w:rPr>
        <w:t xml:space="preserve">практическим </w:t>
      </w:r>
      <w:r w:rsidR="00391A30">
        <w:rPr>
          <w:sz w:val="28"/>
          <w:szCs w:val="28"/>
        </w:rPr>
        <w:t>занятиям</w:t>
      </w:r>
      <w:r>
        <w:rPr>
          <w:sz w:val="28"/>
          <w:szCs w:val="28"/>
        </w:rPr>
        <w:t>.</w:t>
      </w:r>
    </w:p>
    <w:p w:rsidR="000E3840" w:rsidRDefault="000E3840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154F6">
        <w:rPr>
          <w:b/>
          <w:sz w:val="28"/>
          <w:szCs w:val="28"/>
        </w:rPr>
        <w:t xml:space="preserve">1 </w:t>
      </w:r>
      <w:r w:rsidRPr="004F02FF">
        <w:rPr>
          <w:b/>
          <w:sz w:val="28"/>
          <w:szCs w:val="28"/>
        </w:rPr>
        <w:t>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sz w:val="28"/>
          <w:szCs w:val="28"/>
        </w:rPr>
      </w:pPr>
      <w:r w:rsidRPr="00987137">
        <w:rPr>
          <w:bCs/>
          <w:sz w:val="28"/>
          <w:szCs w:val="28"/>
        </w:rPr>
        <w:t>Индивидуальное творческое задание по курсу «</w:t>
      </w:r>
      <w:r w:rsidR="00AD2CF3">
        <w:rPr>
          <w:bCs/>
          <w:sz w:val="28"/>
          <w:szCs w:val="28"/>
        </w:rPr>
        <w:t>Клиническая психология</w:t>
      </w:r>
      <w:r w:rsidRPr="00987137">
        <w:rPr>
          <w:bCs/>
          <w:sz w:val="28"/>
          <w:szCs w:val="28"/>
        </w:rPr>
        <w:t xml:space="preserve">» </w:t>
      </w:r>
      <w:r>
        <w:rPr>
          <w:bCs/>
          <w:sz w:val="28"/>
          <w:szCs w:val="28"/>
        </w:rPr>
        <w:t xml:space="preserve">представляет собой </w:t>
      </w:r>
      <w:r w:rsidR="00AD2CF3" w:rsidRPr="00AD2CF3">
        <w:rPr>
          <w:bCs/>
          <w:sz w:val="28"/>
          <w:szCs w:val="28"/>
        </w:rPr>
        <w:t>н</w:t>
      </w:r>
      <w:r w:rsidR="00AD2CF3" w:rsidRPr="00AD2CF3">
        <w:rPr>
          <w:sz w:val="28"/>
          <w:szCs w:val="28"/>
        </w:rPr>
        <w:t>аписание заключений по данным психодиагностических исследований</w:t>
      </w:r>
      <w:r w:rsidR="00AD2CF3">
        <w:rPr>
          <w:sz w:val="28"/>
          <w:szCs w:val="28"/>
        </w:rPr>
        <w:t xml:space="preserve"> по психодиагностическому исследованию, выполненному посредством классических методик: тест интеллекта Векслера и теста СМИЛ. </w:t>
      </w:r>
    </w:p>
    <w:p w:rsidR="00AD2CF3" w:rsidRDefault="00AD2CF3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студент устно выполняет анализ полученных данных, предоставляемых преп</w:t>
      </w:r>
      <w:r w:rsidR="00AA05DB">
        <w:rPr>
          <w:sz w:val="28"/>
          <w:szCs w:val="28"/>
        </w:rPr>
        <w:t>о</w:t>
      </w:r>
      <w:r>
        <w:rPr>
          <w:sz w:val="28"/>
          <w:szCs w:val="28"/>
        </w:rPr>
        <w:t xml:space="preserve">давателем, либо полученных им самостоятельно с соблюдением условий проведения тестирования. </w:t>
      </w:r>
    </w:p>
    <w:p w:rsidR="00AD2CF3" w:rsidRDefault="00AD2CF3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данных осуществляется по алгоритмам анализа данных, представленных в блоке С Фонда оценочных средств по </w:t>
      </w:r>
      <w:r w:rsidR="00AA05DB">
        <w:rPr>
          <w:sz w:val="28"/>
          <w:szCs w:val="28"/>
        </w:rPr>
        <w:t>дисциплине</w:t>
      </w:r>
      <w:r>
        <w:rPr>
          <w:sz w:val="28"/>
          <w:szCs w:val="28"/>
        </w:rPr>
        <w:t xml:space="preserve">. </w:t>
      </w:r>
    </w:p>
    <w:p w:rsidR="00AA05DB" w:rsidRPr="00AD2CF3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Затем, в полном соответствии с алгоритмами написания заключений реализуется письменная часть задания. </w:t>
      </w:r>
    </w:p>
    <w:p w:rsidR="00775D8C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Качество выполнения данного задания определяется, исходя из следующих критериев: 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Полнота учета показаний по отдельным параметрам методики, а также их соотношения между собой. 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Точность формулирования выявленных характеристик человека (личности)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Грамотность изложения полученной информации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Умение студента квалифицировать признаки психического неблагополучия по предоставленным данным. 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Дидактический материал представлен в блоке С Фонда оценочных средств по данной дисциплине.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3154F6">
        <w:rPr>
          <w:b/>
          <w:sz w:val="28"/>
          <w:szCs w:val="28"/>
        </w:rPr>
        <w:t>2</w:t>
      </w:r>
      <w:r w:rsidRPr="004F02FF">
        <w:rPr>
          <w:b/>
          <w:sz w:val="28"/>
          <w:szCs w:val="28"/>
        </w:rPr>
        <w:t xml:space="preserve"> Методические рекомендации по </w:t>
      </w:r>
      <w:r w:rsidR="00AA05DB">
        <w:rPr>
          <w:b/>
          <w:sz w:val="28"/>
          <w:szCs w:val="28"/>
        </w:rPr>
        <w:t>написанию реферата</w:t>
      </w: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</w:p>
    <w:p w:rsidR="00AA05DB" w:rsidRPr="003A3CE9" w:rsidRDefault="00AA05DB" w:rsidP="00AA05DB">
      <w:pPr>
        <w:ind w:firstLine="709"/>
        <w:jc w:val="both"/>
        <w:rPr>
          <w:sz w:val="28"/>
          <w:szCs w:val="28"/>
        </w:rPr>
      </w:pPr>
      <w:r w:rsidRPr="003A3CE9">
        <w:rPr>
          <w:sz w:val="28"/>
          <w:szCs w:val="28"/>
        </w:rPr>
        <w:t xml:space="preserve">Реферат как вид самостоятельной работы представляет собой малую исследовательскую форму. Суть реферата состоит в том, что студент изучает несколько источников, пересказывает из данных источников только ту часть информации, которая имеет непосредственное отношение к теме реферата. Систематизирует полученную информацию. Результатом систематизации может стать так называемое «рабочее определение» понятий, заключенных в теме реферата, таблица соответствий и/или различий критериев сравнения понятия, выводы о существующих подходах к анализу проблемы, заключенной в теме реферата. Все это и есть «продукт» реферата, отсутствие которого является одновременно свидетельством </w:t>
      </w:r>
      <w:r>
        <w:rPr>
          <w:sz w:val="28"/>
          <w:szCs w:val="28"/>
        </w:rPr>
        <w:t>невыполнени</w:t>
      </w:r>
      <w:r w:rsidRPr="003A3CE9">
        <w:rPr>
          <w:sz w:val="28"/>
          <w:szCs w:val="28"/>
        </w:rPr>
        <w:t>я собственно исследовательской работы в реферате. То есть служит основанием для отрицательной оценки.</w:t>
      </w:r>
    </w:p>
    <w:p w:rsidR="00AA05DB" w:rsidRDefault="00AA05DB" w:rsidP="00AA05DB">
      <w:pPr>
        <w:ind w:firstLine="709"/>
        <w:jc w:val="both"/>
        <w:rPr>
          <w:sz w:val="28"/>
          <w:szCs w:val="28"/>
        </w:rPr>
      </w:pPr>
      <w:r w:rsidRPr="003A3CE9">
        <w:rPr>
          <w:sz w:val="28"/>
          <w:szCs w:val="28"/>
        </w:rPr>
        <w:t xml:space="preserve">В процессе работы над рефератом, а также при изложении результатов собственной работы студент обращается к источникам. Доказательное, внятное логичное изложение результатов метаанализа, каковым по сути </w:t>
      </w:r>
      <w:r w:rsidRPr="003A3CE9">
        <w:rPr>
          <w:sz w:val="28"/>
          <w:szCs w:val="28"/>
        </w:rPr>
        <w:lastRenderedPageBreak/>
        <w:t xml:space="preserve">является написание реферата, включает использование цитат из прочитанной литературы. Пересказ каких-либо фактов, концепций можно считать «неточной» цитатой. В связи с этим ссылка на источники просто необходима, в противном случае </w:t>
      </w:r>
      <w:r>
        <w:rPr>
          <w:sz w:val="28"/>
          <w:szCs w:val="28"/>
        </w:rPr>
        <w:t xml:space="preserve">есть </w:t>
      </w:r>
      <w:r w:rsidRPr="003A3CE9">
        <w:rPr>
          <w:sz w:val="28"/>
          <w:szCs w:val="28"/>
        </w:rPr>
        <w:t xml:space="preserve">основание считать, что предложенный к оцениванию реферат является плагиатом. </w:t>
      </w:r>
    </w:p>
    <w:p w:rsidR="00AA05DB" w:rsidRPr="003A3CE9" w:rsidRDefault="00AA05DB" w:rsidP="00AA05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 </w:t>
      </w:r>
      <w:r w:rsidRPr="003A3CE9">
        <w:rPr>
          <w:sz w:val="28"/>
          <w:szCs w:val="28"/>
        </w:rPr>
        <w:t>е</w:t>
      </w:r>
      <w:r>
        <w:rPr>
          <w:sz w:val="28"/>
          <w:szCs w:val="28"/>
        </w:rPr>
        <w:t>с</w:t>
      </w:r>
      <w:r w:rsidRPr="003A3CE9">
        <w:rPr>
          <w:sz w:val="28"/>
          <w:szCs w:val="28"/>
        </w:rPr>
        <w:t xml:space="preserve">ть, если </w:t>
      </w:r>
      <w:r>
        <w:rPr>
          <w:sz w:val="28"/>
          <w:szCs w:val="28"/>
        </w:rPr>
        <w:t xml:space="preserve">в Вашей работе отсутствует ссылка </w:t>
      </w:r>
      <w:r w:rsidRPr="003A3CE9">
        <w:rPr>
          <w:sz w:val="28"/>
          <w:szCs w:val="28"/>
        </w:rPr>
        <w:t xml:space="preserve">на источник, из которого </w:t>
      </w:r>
      <w:r>
        <w:rPr>
          <w:sz w:val="28"/>
          <w:szCs w:val="28"/>
        </w:rPr>
        <w:t xml:space="preserve">Вы </w:t>
      </w:r>
      <w:r w:rsidRPr="003A3CE9">
        <w:rPr>
          <w:sz w:val="28"/>
          <w:szCs w:val="28"/>
        </w:rPr>
        <w:t>почерпнул</w:t>
      </w:r>
      <w:r>
        <w:rPr>
          <w:sz w:val="28"/>
          <w:szCs w:val="28"/>
        </w:rPr>
        <w:t>и ту или мысль; вы</w:t>
      </w:r>
      <w:r w:rsidRPr="003A3CE9">
        <w:rPr>
          <w:sz w:val="28"/>
          <w:szCs w:val="28"/>
        </w:rPr>
        <w:t xml:space="preserve"> просто переписали часть текста и не оформили это как цитату с указанием источника и страницы, вы совершили воровство – поступок неблаговидный. Вряд ли, даже уличив Вас в подобном, авторы или другие правообладатели текста станут преследовать Вас в судебном порядке (ведь Вы всего лишь студент, постигающий азы науки), но при этом Вы лишитесь возможности показать свою начитанность и осведомленность по данной теме. Для преподавателя же важным является тот факт, что эти ссылки сигнализируют о том, что Вы ориентируетесь источниках, указанных Вами в списке литературы, и действительно работали с ними, и, что особенно важно, обладаете исследовательской культурой. </w:t>
      </w:r>
    </w:p>
    <w:p w:rsidR="005E5FF1" w:rsidRDefault="00AA05DB" w:rsidP="00AA05DB">
      <w:pPr>
        <w:ind w:firstLine="709"/>
        <w:jc w:val="both"/>
        <w:rPr>
          <w:sz w:val="28"/>
          <w:szCs w:val="28"/>
        </w:rPr>
      </w:pPr>
      <w:r w:rsidRPr="003A3CE9">
        <w:rPr>
          <w:i/>
          <w:sz w:val="28"/>
          <w:szCs w:val="28"/>
        </w:rPr>
        <w:t>Требования к источникам</w:t>
      </w:r>
      <w:r w:rsidRPr="003A3CE9">
        <w:rPr>
          <w:sz w:val="28"/>
          <w:szCs w:val="28"/>
        </w:rPr>
        <w:t>: это должны</w:t>
      </w:r>
      <w:r>
        <w:rPr>
          <w:sz w:val="28"/>
          <w:szCs w:val="28"/>
        </w:rPr>
        <w:t xml:space="preserve"> быть монографии, статьи в</w:t>
      </w:r>
      <w:r w:rsidRPr="003A3CE9">
        <w:rPr>
          <w:sz w:val="28"/>
          <w:szCs w:val="28"/>
        </w:rPr>
        <w:t xml:space="preserve"> научных журналах. Использование учебников и учебно-методических пособий в качестве источников допускается, однако наличие только учебников и учебно-методических пособий значительно снижает оценку за работу. Если список литературы состоит только из статей и учебников, то (естественно, с учетом разработанности темы в науке) можно признавать такой список и такой состав источников недостаточным. Идеальный вариант представляет собой следующее: 1-2 монографии непосредственно по теме, 2-3 учебника по профилирующему предмету, 2-3 учебника по смежным дисциплинам, 1-2 статьи вне зависимости от года их издания и 1-2 статьи не ранее 2-3-летней давности.</w:t>
      </w:r>
    </w:p>
    <w:p w:rsidR="00AA05DB" w:rsidRDefault="00AA05DB" w:rsidP="00AA05DB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Фонде оценочных средств в блоке С приводятся примерные темы рефератов с кратким инструктажем, которые помогут студенту определить цель и задачи теоретического анализа в соответствии с предложенной темой, а также правильно сориентироваться в поиске литературы по данной проблематике. 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3.3 Методические рекомендации по подготовке к практическим занятиям</w:t>
      </w:r>
    </w:p>
    <w:p w:rsidR="0099343A" w:rsidRPr="00F91448" w:rsidRDefault="0099343A" w:rsidP="0099343A">
      <w:pPr>
        <w:ind w:firstLine="709"/>
        <w:jc w:val="both"/>
        <w:rPr>
          <w:b/>
          <w:sz w:val="28"/>
          <w:szCs w:val="28"/>
        </w:rPr>
      </w:pP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практических занятий предполагается работа, направленная на приобретение практических навыков реализации осваиваемых психотерапевтических техник, методов. В связи с этим подготовка к практическим  занятиям играет крайне важную роль. </w:t>
      </w:r>
    </w:p>
    <w:p w:rsidR="0099343A" w:rsidRPr="00F91448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99343A" w:rsidRPr="00194B3E" w:rsidRDefault="0099343A" w:rsidP="0099343A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Рекомендации по работе с таблицами. 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:rsidR="0099343A" w:rsidRPr="00194B3E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:rsidR="0099343A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:rsidR="0099343A" w:rsidRDefault="0099343A" w:rsidP="0099343A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 w:rsidRPr="00F91448"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</w:t>
      </w:r>
      <w:r>
        <w:rPr>
          <w:b/>
          <w:i/>
          <w:color w:val="000000"/>
          <w:spacing w:val="7"/>
          <w:sz w:val="28"/>
          <w:szCs w:val="28"/>
        </w:rPr>
        <w:t xml:space="preserve">практическому </w:t>
      </w:r>
      <w:r w:rsidRPr="00F91448">
        <w:rPr>
          <w:b/>
          <w:i/>
          <w:color w:val="000000"/>
          <w:spacing w:val="7"/>
          <w:sz w:val="28"/>
          <w:szCs w:val="28"/>
        </w:rPr>
        <w:t xml:space="preserve">занятию: </w:t>
      </w:r>
    </w:p>
    <w:p w:rsidR="00AA05DB" w:rsidRDefault="00AA05DB" w:rsidP="004F02FF">
      <w:pPr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8"/>
        <w:gridCol w:w="3151"/>
        <w:gridCol w:w="3146"/>
      </w:tblGrid>
      <w:tr w:rsidR="0099343A" w:rsidRPr="0067381B" w:rsidTr="00F525A5">
        <w:trPr>
          <w:trHeight w:val="170"/>
        </w:trPr>
        <w:tc>
          <w:tcPr>
            <w:tcW w:w="3317" w:type="pct"/>
            <w:gridSpan w:val="2"/>
          </w:tcPr>
          <w:p w:rsidR="0099343A" w:rsidRPr="0067381B" w:rsidRDefault="0099343A" w:rsidP="00F525A5">
            <w:pPr>
              <w:contextualSpacing/>
            </w:pPr>
            <w:r w:rsidRPr="0067381B">
              <w:t>Психопатологический синдром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  <w:r w:rsidRPr="0067381B">
              <w:t xml:space="preserve">Расстройство </w:t>
            </w:r>
            <w:r>
              <w:t>мышления</w:t>
            </w: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 w:val="restart"/>
          </w:tcPr>
          <w:p w:rsidR="0099343A" w:rsidRPr="0067381B" w:rsidRDefault="0099343A" w:rsidP="00F525A5">
            <w:pPr>
              <w:contextualSpacing/>
            </w:pPr>
            <w:r w:rsidRPr="0067381B">
              <w:t>Невротические и неврозоподобные</w:t>
            </w:r>
          </w:p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Астенический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Обсессивный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Истерический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 w:val="restart"/>
          </w:tcPr>
          <w:p w:rsidR="0099343A" w:rsidRPr="0067381B" w:rsidRDefault="0099343A" w:rsidP="00F525A5">
            <w:pPr>
              <w:contextualSpacing/>
            </w:pPr>
            <w:r w:rsidRPr="0067381B">
              <w:t xml:space="preserve">Аффективные </w:t>
            </w: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Депрессивный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Маниакальный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>
              <w:t>А</w:t>
            </w:r>
            <w:r w:rsidRPr="0067381B">
              <w:t>пато-абулический</w:t>
            </w:r>
            <w:r>
              <w:t xml:space="preserve"> 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 w:val="restart"/>
          </w:tcPr>
          <w:p w:rsidR="0099343A" w:rsidRPr="0067381B" w:rsidRDefault="0099343A" w:rsidP="00F525A5">
            <w:pPr>
              <w:contextualSpacing/>
            </w:pPr>
            <w:r w:rsidRPr="0067381B">
              <w:t>Бредовые и галлюцинаторные</w:t>
            </w: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Паранойяльный</w:t>
            </w:r>
            <w:r>
              <w:t xml:space="preserve"> 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Параноидный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>
              <w:t>С</w:t>
            </w:r>
            <w:r w:rsidRPr="0067381B">
              <w:t>индром психического автоматизма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Парафреновый</w:t>
            </w:r>
            <w:r>
              <w:t xml:space="preserve"> 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Галлюцинозы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 w:val="restart"/>
          </w:tcPr>
          <w:p w:rsidR="0099343A" w:rsidRPr="0067381B" w:rsidRDefault="0099343A" w:rsidP="00F525A5">
            <w:pPr>
              <w:contextualSpacing/>
            </w:pPr>
            <w:r w:rsidRPr="0067381B">
              <w:t>Нарушенного сознания</w:t>
            </w: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Делириозный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Онейроидный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Аментивный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>
              <w:t>С</w:t>
            </w:r>
            <w:r w:rsidRPr="0067381B">
              <w:t>умеречное помрачнение сознания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 w:val="restart"/>
          </w:tcPr>
          <w:p w:rsidR="0099343A" w:rsidRPr="0067381B" w:rsidRDefault="0099343A" w:rsidP="00F525A5">
            <w:pPr>
              <w:contextualSpacing/>
            </w:pPr>
            <w:r w:rsidRPr="0067381B">
              <w:t>Амнестические</w:t>
            </w: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Психоорганические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Корсаковский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  <w:tr w:rsidR="0099343A" w:rsidRPr="0067381B" w:rsidTr="00F525A5">
        <w:trPr>
          <w:trHeight w:val="510"/>
        </w:trPr>
        <w:tc>
          <w:tcPr>
            <w:tcW w:w="1631" w:type="pct"/>
            <w:vMerge/>
          </w:tcPr>
          <w:p w:rsidR="0099343A" w:rsidRPr="0067381B" w:rsidRDefault="0099343A" w:rsidP="00F525A5">
            <w:pPr>
              <w:contextualSpacing/>
            </w:pPr>
          </w:p>
        </w:tc>
        <w:tc>
          <w:tcPr>
            <w:tcW w:w="1686" w:type="pct"/>
          </w:tcPr>
          <w:p w:rsidR="0099343A" w:rsidRPr="0067381B" w:rsidRDefault="0099343A" w:rsidP="00F525A5">
            <w:pPr>
              <w:contextualSpacing/>
            </w:pPr>
            <w:r w:rsidRPr="0067381B">
              <w:t>Деменции</w:t>
            </w:r>
          </w:p>
        </w:tc>
        <w:tc>
          <w:tcPr>
            <w:tcW w:w="1683" w:type="pct"/>
          </w:tcPr>
          <w:p w:rsidR="0099343A" w:rsidRPr="0067381B" w:rsidRDefault="0099343A" w:rsidP="00F525A5">
            <w:pPr>
              <w:contextualSpacing/>
            </w:pPr>
          </w:p>
        </w:tc>
      </w:tr>
    </w:tbl>
    <w:p w:rsidR="004F02FF" w:rsidRDefault="004F02FF" w:rsidP="004F02FF">
      <w:pPr>
        <w:ind w:firstLine="709"/>
        <w:jc w:val="both"/>
        <w:rPr>
          <w:iCs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99343A">
        <w:rPr>
          <w:color w:val="000000"/>
          <w:spacing w:val="7"/>
          <w:sz w:val="28"/>
          <w:szCs w:val="28"/>
        </w:rPr>
        <w:t>Клиническая психология</w:t>
      </w:r>
      <w:r>
        <w:rPr>
          <w:color w:val="000000"/>
          <w:spacing w:val="7"/>
          <w:sz w:val="28"/>
          <w:szCs w:val="28"/>
        </w:rPr>
        <w:t xml:space="preserve">» предполагает </w:t>
      </w:r>
      <w:r w:rsidR="00351F2E">
        <w:rPr>
          <w:color w:val="000000"/>
          <w:spacing w:val="7"/>
          <w:sz w:val="28"/>
          <w:szCs w:val="28"/>
        </w:rPr>
        <w:t>экзамен в 4</w:t>
      </w:r>
      <w:r w:rsidR="0099343A">
        <w:rPr>
          <w:color w:val="000000"/>
          <w:spacing w:val="7"/>
          <w:sz w:val="28"/>
          <w:szCs w:val="28"/>
        </w:rPr>
        <w:t xml:space="preserve"> семестре</w:t>
      </w:r>
      <w:r w:rsidR="00351F2E">
        <w:rPr>
          <w:color w:val="000000"/>
          <w:spacing w:val="7"/>
          <w:sz w:val="28"/>
          <w:szCs w:val="28"/>
        </w:rPr>
        <w:t>.</w:t>
      </w:r>
    </w:p>
    <w:p w:rsidR="00893EF8" w:rsidRDefault="00114995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 </w:t>
      </w:r>
      <w:r w:rsidR="0099343A">
        <w:rPr>
          <w:color w:val="000000"/>
          <w:spacing w:val="7"/>
          <w:sz w:val="28"/>
          <w:szCs w:val="28"/>
        </w:rPr>
        <w:t xml:space="preserve">экзамену </w:t>
      </w:r>
      <w:r>
        <w:rPr>
          <w:color w:val="000000"/>
          <w:spacing w:val="7"/>
          <w:sz w:val="28"/>
          <w:szCs w:val="28"/>
        </w:rPr>
        <w:t xml:space="preserve">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Заучивание терминов и понятий, составляющих тезаурус дисциплины «Клиническая психология» (эти понятия представлены</w:t>
      </w:r>
      <w:bookmarkStart w:id="1" w:name="_GoBack"/>
      <w:bookmarkEnd w:id="1"/>
      <w:r>
        <w:rPr>
          <w:sz w:val="28"/>
          <w:szCs w:val="28"/>
        </w:rPr>
        <w:t xml:space="preserve"> в глоссарии)</w:t>
      </w: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Структурирование терминологического аппарата по отношению к разделам дисциплины, представляющим самостоятельные отрасли клинической психологии: нейропсихологии, патопсихологии и психопатологии (вспомогательные материалы по подготовке к ответам на вопросы к экзамену). </w:t>
      </w:r>
    </w:p>
    <w:p w:rsidR="0099343A" w:rsidRDefault="0099343A" w:rsidP="009934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Освоение практических навыков проведения и интерпретации психодиагностических клинических методик: СМИЛ и тест Векслера. (</w:t>
      </w:r>
      <w:r w:rsidRPr="00BA1538">
        <w:rPr>
          <w:sz w:val="28"/>
          <w:szCs w:val="28"/>
        </w:rPr>
        <w:t xml:space="preserve">Схема анализа данных по тесту Векслера, </w:t>
      </w:r>
      <w:r>
        <w:rPr>
          <w:sz w:val="28"/>
          <w:szCs w:val="28"/>
        </w:rPr>
        <w:t>п</w:t>
      </w:r>
      <w:r w:rsidRPr="00BA1538">
        <w:rPr>
          <w:sz w:val="28"/>
          <w:szCs w:val="28"/>
        </w:rPr>
        <w:t>рактические задания для тренировки практических навыков по курсу «Клиническая психология»</w:t>
      </w:r>
      <w:r>
        <w:rPr>
          <w:sz w:val="28"/>
          <w:szCs w:val="28"/>
        </w:rPr>
        <w:t>)</w:t>
      </w:r>
    </w:p>
    <w:p w:rsidR="0099343A" w:rsidRDefault="0099343A" w:rsidP="0099343A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Выполнение самостоятельной работы (</w:t>
      </w:r>
      <w:r w:rsidRPr="00926D7E">
        <w:rPr>
          <w:sz w:val="28"/>
          <w:szCs w:val="28"/>
        </w:rPr>
        <w:t>рекомендации по выполнению самостоятельной работы)</w:t>
      </w:r>
      <w:r>
        <w:rPr>
          <w:sz w:val="28"/>
          <w:szCs w:val="28"/>
        </w:rPr>
        <w:t xml:space="preserve">. </w:t>
      </w:r>
    </w:p>
    <w:p w:rsidR="004F02FF" w:rsidRDefault="0099343A" w:rsidP="0099343A">
      <w:pPr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Экзамен предполагает ответ студента по вопросам билета. В билете – два вопроса. Критерии оценивания ответа студента на экзамены представлены в Фонде оценочных средств по данной дисциплине. </w:t>
      </w:r>
    </w:p>
    <w:sectPr w:rsidR="004F0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934" w:rsidRDefault="00E21934" w:rsidP="00E01DB3">
      <w:r>
        <w:separator/>
      </w:r>
    </w:p>
  </w:endnote>
  <w:endnote w:type="continuationSeparator" w:id="0">
    <w:p w:rsidR="00E21934" w:rsidRDefault="00E21934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934" w:rsidRDefault="00E21934" w:rsidP="00E01DB3">
      <w:r>
        <w:separator/>
      </w:r>
    </w:p>
  </w:footnote>
  <w:footnote w:type="continuationSeparator" w:id="0">
    <w:p w:rsidR="00E21934" w:rsidRDefault="00E21934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C395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063B"/>
    <w:rsid w:val="0004126A"/>
    <w:rsid w:val="00061F57"/>
    <w:rsid w:val="00062B22"/>
    <w:rsid w:val="000A3BA0"/>
    <w:rsid w:val="000D40E4"/>
    <w:rsid w:val="000E3840"/>
    <w:rsid w:val="00114995"/>
    <w:rsid w:val="001462E4"/>
    <w:rsid w:val="00155430"/>
    <w:rsid w:val="00181537"/>
    <w:rsid w:val="001A16D0"/>
    <w:rsid w:val="001C4CA6"/>
    <w:rsid w:val="001E3C09"/>
    <w:rsid w:val="00246B08"/>
    <w:rsid w:val="0029508E"/>
    <w:rsid w:val="002F2004"/>
    <w:rsid w:val="002F58F5"/>
    <w:rsid w:val="0030283A"/>
    <w:rsid w:val="003154F6"/>
    <w:rsid w:val="00341690"/>
    <w:rsid w:val="00351F2E"/>
    <w:rsid w:val="00387CB3"/>
    <w:rsid w:val="00391A30"/>
    <w:rsid w:val="003F0878"/>
    <w:rsid w:val="0040005F"/>
    <w:rsid w:val="00406E26"/>
    <w:rsid w:val="004269E2"/>
    <w:rsid w:val="00437213"/>
    <w:rsid w:val="00442CFF"/>
    <w:rsid w:val="0048603A"/>
    <w:rsid w:val="00491396"/>
    <w:rsid w:val="004A13B3"/>
    <w:rsid w:val="004B6E4F"/>
    <w:rsid w:val="004C0D11"/>
    <w:rsid w:val="004D2594"/>
    <w:rsid w:val="004E5B5B"/>
    <w:rsid w:val="004F02FF"/>
    <w:rsid w:val="0052222D"/>
    <w:rsid w:val="0052713B"/>
    <w:rsid w:val="00545C08"/>
    <w:rsid w:val="00582395"/>
    <w:rsid w:val="00597A03"/>
    <w:rsid w:val="005B3D34"/>
    <w:rsid w:val="005C6B2D"/>
    <w:rsid w:val="005D2E8A"/>
    <w:rsid w:val="005E5FF1"/>
    <w:rsid w:val="006274D2"/>
    <w:rsid w:val="00691AB7"/>
    <w:rsid w:val="006B1049"/>
    <w:rsid w:val="00716339"/>
    <w:rsid w:val="00764F1F"/>
    <w:rsid w:val="00775D8C"/>
    <w:rsid w:val="0078245E"/>
    <w:rsid w:val="007F0A60"/>
    <w:rsid w:val="00825D01"/>
    <w:rsid w:val="008547FC"/>
    <w:rsid w:val="00861B9E"/>
    <w:rsid w:val="00866154"/>
    <w:rsid w:val="00893120"/>
    <w:rsid w:val="00893EF8"/>
    <w:rsid w:val="00894A1E"/>
    <w:rsid w:val="008E0217"/>
    <w:rsid w:val="00925F3C"/>
    <w:rsid w:val="00955EC7"/>
    <w:rsid w:val="00964483"/>
    <w:rsid w:val="00987137"/>
    <w:rsid w:val="0099343A"/>
    <w:rsid w:val="00A035B7"/>
    <w:rsid w:val="00A22803"/>
    <w:rsid w:val="00A230C9"/>
    <w:rsid w:val="00A75A62"/>
    <w:rsid w:val="00AA05DB"/>
    <w:rsid w:val="00AD2CF3"/>
    <w:rsid w:val="00AD6B14"/>
    <w:rsid w:val="00AE5686"/>
    <w:rsid w:val="00AE6A20"/>
    <w:rsid w:val="00B459E4"/>
    <w:rsid w:val="00B615E4"/>
    <w:rsid w:val="00B8495D"/>
    <w:rsid w:val="00BE4121"/>
    <w:rsid w:val="00C25187"/>
    <w:rsid w:val="00CA161E"/>
    <w:rsid w:val="00CC13BF"/>
    <w:rsid w:val="00D203B9"/>
    <w:rsid w:val="00D415EE"/>
    <w:rsid w:val="00D533CD"/>
    <w:rsid w:val="00D950CD"/>
    <w:rsid w:val="00DD35D4"/>
    <w:rsid w:val="00DE2293"/>
    <w:rsid w:val="00DF3556"/>
    <w:rsid w:val="00E01DB3"/>
    <w:rsid w:val="00E13F3D"/>
    <w:rsid w:val="00E21934"/>
    <w:rsid w:val="00E276F0"/>
    <w:rsid w:val="00E67D81"/>
    <w:rsid w:val="00E97EEF"/>
    <w:rsid w:val="00ED18FD"/>
    <w:rsid w:val="00ED341C"/>
    <w:rsid w:val="00ED4EFC"/>
    <w:rsid w:val="00FC54B7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9E34F-B152-4772-90D5-240BA44C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rsid w:val="004B6E4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4B62B-21FB-4C63-8C94-7A1A925A3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2732</Words>
  <Characters>15573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</cp:revision>
  <cp:lastPrinted>2019-03-14T06:31:00Z</cp:lastPrinted>
  <dcterms:created xsi:type="dcterms:W3CDTF">2022-04-03T19:17:00Z</dcterms:created>
  <dcterms:modified xsi:type="dcterms:W3CDTF">2022-04-03T19:19:00Z</dcterms:modified>
</cp:coreProperties>
</file>