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E2305B" w:rsidRPr="00EE7950" w:rsidRDefault="00E230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E7950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E2305B" w:rsidRDefault="00E230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2305B" w:rsidRPr="005E1284" w:rsidRDefault="00E2305B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E1284">
        <w:rPr>
          <w:rFonts w:ascii="Times New Roman" w:hAnsi="Times New Roman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A46FD4" w:rsidRDefault="00A46FD4" w:rsidP="00A46FD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«Б1.Д.В.Э.4.1 Литература страны изучаемого языка»</w:t>
      </w:r>
    </w:p>
    <w:p w:rsidR="00A46FD4" w:rsidRDefault="00A46FD4" w:rsidP="00A46FD4">
      <w:pPr>
        <w:pStyle w:val="ReportHead"/>
        <w:suppressAutoHyphens/>
        <w:rPr>
          <w:sz w:val="24"/>
        </w:rPr>
      </w:pPr>
    </w:p>
    <w:p w:rsidR="00A46FD4" w:rsidRDefault="00A46FD4" w:rsidP="00A46F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46FD4" w:rsidRDefault="00A46FD4" w:rsidP="00A46F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46FD4" w:rsidRDefault="00A46FD4" w:rsidP="00A46FD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46FD4" w:rsidRDefault="00A46FD4" w:rsidP="00A46F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A46FD4" w:rsidRDefault="00A46FD4" w:rsidP="00A46F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46FD4" w:rsidRDefault="00A46FD4" w:rsidP="00A46F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Перевод и переводоведение (немецкий язык, второй иностранный язык)</w:t>
      </w:r>
    </w:p>
    <w:p w:rsidR="00A46FD4" w:rsidRDefault="00A46FD4" w:rsidP="00A46F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46FD4" w:rsidRDefault="00A46FD4" w:rsidP="00A46FD4">
      <w:pPr>
        <w:pStyle w:val="ReportHead"/>
        <w:suppressAutoHyphens/>
        <w:rPr>
          <w:sz w:val="24"/>
        </w:rPr>
      </w:pPr>
    </w:p>
    <w:p w:rsidR="00A46FD4" w:rsidRDefault="00A46FD4" w:rsidP="00A46FD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46FD4" w:rsidRDefault="00A46FD4" w:rsidP="00A46F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2305B" w:rsidRDefault="00E2305B" w:rsidP="007E331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2305B" w:rsidRDefault="00E2305B" w:rsidP="007E331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2305B" w:rsidRDefault="00E2305B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2305B" w:rsidRDefault="00E2305B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32"/>
          <w:szCs w:val="32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E2305B" w:rsidP="00E54974">
      <w:pPr>
        <w:keepNext/>
        <w:tabs>
          <w:tab w:val="left" w:pos="0"/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hAnsi="Times New Roman"/>
          <w:bCs/>
          <w:kern w:val="1"/>
          <w:sz w:val="28"/>
          <w:szCs w:val="28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A46FD4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2305B">
        <w:rPr>
          <w:rFonts w:ascii="Times New Roman" w:hAnsi="Times New Roman"/>
          <w:sz w:val="28"/>
          <w:szCs w:val="28"/>
        </w:rPr>
        <w:lastRenderedPageBreak/>
        <w:t>Составитель: Щербина В.Е.</w:t>
      </w:r>
    </w:p>
    <w:p w:rsidR="00E2305B" w:rsidRPr="00E54974" w:rsidRDefault="00E2305B" w:rsidP="00E54974">
      <w:pPr>
        <w:jc w:val="both"/>
        <w:rPr>
          <w:rFonts w:ascii="Times New Roman" w:hAnsi="Times New Roman"/>
          <w:sz w:val="28"/>
          <w:szCs w:val="28"/>
        </w:rPr>
      </w:pPr>
    </w:p>
    <w:p w:rsidR="00E2305B" w:rsidRPr="00E54974" w:rsidRDefault="00E2305B" w:rsidP="00E54974">
      <w:pPr>
        <w:jc w:val="both"/>
        <w:rPr>
          <w:rFonts w:ascii="Times New Roman" w:hAnsi="Times New Roman"/>
          <w:sz w:val="28"/>
          <w:szCs w:val="28"/>
        </w:rPr>
      </w:pPr>
    </w:p>
    <w:p w:rsidR="00E2305B" w:rsidRPr="00E54974" w:rsidRDefault="00E2305B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E2305B" w:rsidRPr="00E54974" w:rsidRDefault="00E2305B" w:rsidP="00E54974">
      <w:pPr>
        <w:jc w:val="both"/>
        <w:rPr>
          <w:rFonts w:ascii="Times New Roman" w:hAnsi="Times New Roman"/>
          <w:sz w:val="28"/>
          <w:szCs w:val="28"/>
        </w:rPr>
      </w:pPr>
    </w:p>
    <w:p w:rsidR="00E2305B" w:rsidRPr="00E54974" w:rsidRDefault="00E2305B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 О.П. Симутова</w:t>
      </w: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2305B" w:rsidRPr="00E54974" w:rsidRDefault="00E2305B" w:rsidP="00E5497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Методические указания  являю</w:t>
      </w:r>
      <w:r w:rsidRPr="00E54974">
        <w:rPr>
          <w:rFonts w:ascii="Times New Roman" w:hAnsi="Times New Roman"/>
          <w:sz w:val="28"/>
          <w:szCs w:val="28"/>
        </w:rPr>
        <w:t xml:space="preserve">тся приложением к рабочей программе по дисциплине </w:t>
      </w:r>
      <w:r w:rsidR="00991012">
        <w:rPr>
          <w:rFonts w:ascii="Times New Roman" w:hAnsi="Times New Roman"/>
          <w:sz w:val="28"/>
          <w:szCs w:val="28"/>
        </w:rPr>
        <w:t>Литература страны изучаемого языка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E2305B" w:rsidRDefault="00E230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2305B" w:rsidRDefault="00E230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2305B" w:rsidRDefault="00E230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2305B" w:rsidRDefault="00E230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2305B" w:rsidRDefault="00E230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2305B" w:rsidRDefault="00A46FD4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  <w:r>
        <w:rPr>
          <w:rFonts w:ascii="Symbol" w:hAnsi="Symbol"/>
          <w:kern w:val="1"/>
          <w:sz w:val="28"/>
          <w:szCs w:val="28"/>
          <w:lang w:eastAsia="ar-SA"/>
        </w:rPr>
        <w:br w:type="page"/>
      </w:r>
    </w:p>
    <w:p w:rsidR="00E2305B" w:rsidRPr="00E54974" w:rsidRDefault="00D044B1" w:rsidP="007E331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D044B1">
        <w:rPr>
          <w:noProof/>
          <w:lang w:eastAsia="ru-RU"/>
        </w:rPr>
        <w:pict>
          <v:rect id="Прямоугольник 1" o:spid="_x0000_s1026" style="position:absolute;left:0;text-align:left;margin-left:434.85pt;margin-top:6.3pt;width:54pt;height:36pt;z-index:1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  <w:r w:rsidR="00E2305B"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t>Содержание</w:t>
      </w:r>
    </w:p>
    <w:p w:rsidR="00E2305B" w:rsidRPr="00E54974" w:rsidRDefault="00E2305B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E2305B" w:rsidRPr="00E54974" w:rsidRDefault="00E2305B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подготовке к лекционным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E2305B" w:rsidRDefault="00E2305B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подготовке к семинарским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E2305B" w:rsidRDefault="00E2305B" w:rsidP="005E128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t>3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работе с литературой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E2305B" w:rsidRDefault="00E2305B" w:rsidP="005E128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ведению читательского дневника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10</w:t>
      </w:r>
    </w:p>
    <w:p w:rsidR="00E2305B" w:rsidRDefault="00E2305B" w:rsidP="005E128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t>5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подготовке научного доклада (ИТЗ)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11</w:t>
      </w:r>
    </w:p>
    <w:p w:rsidR="00E2305B" w:rsidRDefault="00E2305B" w:rsidP="005E128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t>6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подготовке мультимедийной презентации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12</w:t>
      </w:r>
    </w:p>
    <w:p w:rsidR="00E2305B" w:rsidRPr="00E54974" w:rsidRDefault="00E2305B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</w:t>
      </w:r>
      <w:r w:rsidR="00A46FD4">
        <w:rPr>
          <w:rFonts w:ascii="Times New Roman" w:hAnsi="Times New Roman"/>
          <w:kern w:val="1"/>
          <w:sz w:val="28"/>
          <w:szCs w:val="28"/>
          <w:lang w:eastAsia="ar-SA"/>
        </w:rPr>
        <w:t>говой аттестации (зачет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</w:t>
      </w:r>
      <w:bookmarkStart w:id="0" w:name="_GoBack"/>
      <w:bookmarkEnd w:id="0"/>
      <w:r>
        <w:rPr>
          <w:rFonts w:ascii="Times New Roman" w:hAnsi="Times New Roman"/>
          <w:kern w:val="1"/>
          <w:sz w:val="28"/>
          <w:szCs w:val="28"/>
          <w:lang w:eastAsia="ar-SA"/>
        </w:rPr>
        <w:t>3</w:t>
      </w:r>
    </w:p>
    <w:p w:rsidR="00E2305B" w:rsidRPr="00E54974" w:rsidRDefault="00E2305B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2305B" w:rsidRPr="00E54974" w:rsidRDefault="00E2305B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Default="00E230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ее связями с другими дисциплинами образовательной программы, методическими разработками по данной дисциплине, основной и дополнительной литературой, необходимой для эффективной подготовки к семинарским занятиям.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05B" w:rsidRPr="005E1284" w:rsidRDefault="00E2305B" w:rsidP="005E1284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5E1284">
        <w:rPr>
          <w:rFonts w:ascii="Times New Roman" w:hAnsi="Times New Roman"/>
          <w:b/>
          <w:sz w:val="28"/>
          <w:szCs w:val="28"/>
        </w:rPr>
        <w:t xml:space="preserve">Методические рекомендации по подготовке к лекционным занятиям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приведут к недостаточному освоению предмета. Именно поэтому контроль над систематической работой студентов всегда находится в центре внимания преподавателя. Студентам необходимо иметь на лекции соответствующий материал на бумажных носителях, представленный в курсе электронной системы обучения </w:t>
      </w:r>
      <w:r w:rsidRPr="005E1284">
        <w:rPr>
          <w:rFonts w:ascii="Times New Roman" w:hAnsi="Times New Roman"/>
          <w:sz w:val="28"/>
          <w:szCs w:val="28"/>
          <w:lang w:val="de-DE"/>
        </w:rPr>
        <w:t>MOODLE</w:t>
      </w:r>
      <w:r w:rsidRPr="005E1284">
        <w:rPr>
          <w:rFonts w:ascii="Times New Roman" w:hAnsi="Times New Roman"/>
          <w:sz w:val="28"/>
          <w:szCs w:val="28"/>
        </w:rPr>
        <w:t xml:space="preserve">. Данный материал будет охарактеризован, прокомментирован, дополнен непосредственно на лекции. Перед очередной лекцией необходимо повторить материал предыдущей лекции. При затруднениях в восприятии материала следует обратиться к основным литературным источникам. Не следует оставлять «белых пятен» в освоении материала.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305B" w:rsidRPr="005E1284" w:rsidRDefault="00E2305B" w:rsidP="005E1284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5E1284">
        <w:rPr>
          <w:rFonts w:ascii="Times New Roman" w:hAnsi="Times New Roman"/>
          <w:b/>
          <w:sz w:val="28"/>
          <w:szCs w:val="28"/>
        </w:rPr>
        <w:t>Методические рекомендации по подготовке к семинарским занятиям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 При подготовке к очередному практическому занятию по рекомендованным литературным источникам необходимо тщательно проработать теоретический материал, соответствующей </w:t>
      </w:r>
      <w:r w:rsidRPr="005E1284">
        <w:rPr>
          <w:rFonts w:ascii="Times New Roman" w:hAnsi="Times New Roman"/>
          <w:sz w:val="28"/>
          <w:szCs w:val="28"/>
          <w:shd w:val="clear" w:color="auto" w:fill="FFFFFF"/>
        </w:rPr>
        <w:t>темы занятия.</w:t>
      </w:r>
      <w:r w:rsidRPr="005E1284">
        <w:rPr>
          <w:rFonts w:ascii="Times New Roman" w:hAnsi="Times New Roman"/>
          <w:sz w:val="28"/>
          <w:szCs w:val="28"/>
          <w:shd w:val="clear" w:color="auto" w:fill="FF6600"/>
        </w:rPr>
        <w:t xml:space="preserve">  </w:t>
      </w:r>
      <w:r w:rsidRPr="005E1284">
        <w:rPr>
          <w:rFonts w:ascii="Times New Roman" w:hAnsi="Times New Roman"/>
          <w:sz w:val="28"/>
          <w:szCs w:val="28"/>
        </w:rPr>
        <w:t>Обязательно следует использовать не только лекции, учебную литературу, но и дополнительные источники. В начале семинарского занятия рекомендуется задать преподавателю вопросы по материалу, вызвавшему затруднения в его понимании и освоении при решении задач</w:t>
      </w:r>
      <w:r w:rsidRPr="005E1284">
        <w:rPr>
          <w:rFonts w:ascii="Times New Roman" w:hAnsi="Times New Roman"/>
          <w:sz w:val="28"/>
          <w:szCs w:val="28"/>
          <w:shd w:val="clear" w:color="auto" w:fill="FFFFFF"/>
        </w:rPr>
        <w:t xml:space="preserve"> для самостоятельного </w:t>
      </w:r>
      <w:r w:rsidRPr="005E1284">
        <w:rPr>
          <w:rFonts w:ascii="Times New Roman" w:hAnsi="Times New Roman"/>
          <w:sz w:val="28"/>
          <w:szCs w:val="28"/>
        </w:rPr>
        <w:t xml:space="preserve">решения. В ходе семинара следует давать конкретные, четкие ответы по существу вопросов, доводить каждую задачу до окончательного решения, демонстрировать понимание материала по соответствующей теме занятия и, в случае затруднений, обращаться к преподавателю. Студентам, пропустившим занятия (независимо от причин), не подготовившимся к данному практическому занятию, рекомендуется не позже чем в двухнедельный срок ответить материал темы, изучавшейся на пропущенном занятии.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Вопросы для семинарских занятий: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 1 Литература древнего периода и средневековая литература: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lastRenderedPageBreak/>
        <w:t xml:space="preserve">1.1 Памятники устной словесности. Хвалебные и героические песни. «Песнь о Хильдебранде». 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 xml:space="preserve">1.2 Немецкий героический эпос. Отражение конфликтов раннего средневековья в «Песне о Нибелунгах». 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 xml:space="preserve">1.3 Особенности немецкого куртуазного романа. Г. Страсбургский и его роман «Тристан и Изольда». 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1.4 Миннезанг и его национальные своеобразие. Вальтер фон дер Фогельвейде.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1.5 Лирика вагантов.</w:t>
      </w:r>
    </w:p>
    <w:p w:rsidR="00E2305B" w:rsidRPr="005E1284" w:rsidRDefault="00E2305B" w:rsidP="005E1284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 2 Литература эпохи Возрождения: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2.1 Особенности Северного Возрождения. Роль Мартина Лютера в обретении Северным Возрождением своей специфики.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2.2 Эразм Роттердамский – вождь европейского гуманизма. «Похвальное слово глупости».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2.3 </w:t>
      </w:r>
      <w:r w:rsidRPr="005E1284">
        <w:rPr>
          <w:rFonts w:ascii="Times New Roman" w:hAnsi="Times New Roman"/>
          <w:color w:val="000000"/>
          <w:sz w:val="28"/>
          <w:szCs w:val="28"/>
        </w:rPr>
        <w:t xml:space="preserve">Мейстерзанг </w:t>
      </w:r>
      <w:r w:rsidRPr="005E1284">
        <w:rPr>
          <w:rFonts w:ascii="Times New Roman" w:hAnsi="Times New Roman"/>
          <w:sz w:val="28"/>
          <w:szCs w:val="28"/>
        </w:rPr>
        <w:t>–</w:t>
      </w:r>
      <w:r w:rsidRPr="005E1284">
        <w:rPr>
          <w:rFonts w:ascii="Times New Roman" w:hAnsi="Times New Roman"/>
          <w:color w:val="000000"/>
          <w:sz w:val="28"/>
          <w:szCs w:val="28"/>
        </w:rPr>
        <w:t xml:space="preserve"> поэзия цеховых ремесленников Германии. Творчество Г. Закса.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 xml:space="preserve">2.4 Народные книги </w:t>
      </w:r>
      <w:r w:rsidRPr="005E1284">
        <w:rPr>
          <w:rFonts w:ascii="Times New Roman" w:hAnsi="Times New Roman"/>
          <w:sz w:val="28"/>
          <w:szCs w:val="28"/>
        </w:rPr>
        <w:t>XIV – XVI веков.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2.5 Литература о дураках: общая характеристика. «Корабль дураков» С. Бранта.</w:t>
      </w:r>
    </w:p>
    <w:p w:rsidR="00E2305B" w:rsidRPr="005E1284" w:rsidRDefault="00E2305B" w:rsidP="005E1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Тема 3 Литература </w:t>
      </w:r>
      <w:r w:rsidRPr="005E1284">
        <w:rPr>
          <w:rFonts w:ascii="Times New Roman" w:hAnsi="Times New Roman"/>
          <w:sz w:val="28"/>
          <w:szCs w:val="28"/>
          <w:lang w:val="de-DE"/>
        </w:rPr>
        <w:t>XVII</w:t>
      </w:r>
      <w:r w:rsidRPr="005E1284">
        <w:rPr>
          <w:rFonts w:ascii="Times New Roman" w:hAnsi="Times New Roman"/>
          <w:sz w:val="28"/>
          <w:szCs w:val="28"/>
        </w:rPr>
        <w:t xml:space="preserve"> века: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3.1 Классицизм и барокко как основные художественные направления в  литературе Европы и Германии </w:t>
      </w:r>
      <w:r w:rsidRPr="005E1284">
        <w:rPr>
          <w:rFonts w:ascii="Times New Roman" w:hAnsi="Times New Roman"/>
          <w:sz w:val="28"/>
          <w:szCs w:val="28"/>
          <w:lang w:val="de-DE"/>
        </w:rPr>
        <w:t>XVII</w:t>
      </w:r>
      <w:r w:rsidRPr="005E1284">
        <w:rPr>
          <w:rFonts w:ascii="Times New Roman" w:hAnsi="Times New Roman"/>
          <w:sz w:val="28"/>
          <w:szCs w:val="28"/>
        </w:rPr>
        <w:t xml:space="preserve"> века.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3.2 Общественно-политическое положение Германии </w:t>
      </w:r>
      <w:r w:rsidRPr="005E1284">
        <w:rPr>
          <w:rFonts w:ascii="Times New Roman" w:hAnsi="Times New Roman"/>
          <w:sz w:val="28"/>
          <w:szCs w:val="28"/>
          <w:lang w:val="de-DE"/>
        </w:rPr>
        <w:t>XVII</w:t>
      </w:r>
      <w:r w:rsidRPr="005E1284">
        <w:rPr>
          <w:rFonts w:ascii="Times New Roman" w:hAnsi="Times New Roman"/>
          <w:sz w:val="28"/>
          <w:szCs w:val="28"/>
        </w:rPr>
        <w:t xml:space="preserve"> века. Вклад в культуру Германии М. Опица.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3.3 Творчество А. Грифиуса и П. Флеминга.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.4 Г"/>
        </w:smartTagPr>
        <w:r w:rsidRPr="005E1284">
          <w:rPr>
            <w:rFonts w:ascii="Times New Roman" w:hAnsi="Times New Roman"/>
            <w:sz w:val="28"/>
            <w:szCs w:val="28"/>
          </w:rPr>
          <w:t>3.4 Г</w:t>
        </w:r>
      </w:smartTag>
      <w:r w:rsidRPr="005E1284">
        <w:rPr>
          <w:rFonts w:ascii="Times New Roman" w:hAnsi="Times New Roman"/>
          <w:sz w:val="28"/>
          <w:szCs w:val="28"/>
        </w:rPr>
        <w:t>. Гриммельсгаузен и его роман «Симплициссимус».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 4 Литература эпохи Просвещения: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4.1 Общая характеристика европейского Просвещения. Особенности эпохи Просвещения в Германии.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4.2 Творческая деятельность немецких просветителей И.К. Готшеда, Ф.Г. Клопштока, Х.М. Виланда.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4.3 Г"/>
        </w:smartTagPr>
        <w:r w:rsidRPr="005E1284">
          <w:rPr>
            <w:rFonts w:ascii="Times New Roman" w:hAnsi="Times New Roman"/>
            <w:sz w:val="28"/>
            <w:szCs w:val="28"/>
          </w:rPr>
          <w:t>4.3 Г</w:t>
        </w:r>
      </w:smartTag>
      <w:r w:rsidRPr="005E1284">
        <w:rPr>
          <w:rFonts w:ascii="Times New Roman" w:hAnsi="Times New Roman"/>
          <w:sz w:val="28"/>
          <w:szCs w:val="28"/>
        </w:rPr>
        <w:t xml:space="preserve">.Э. Лессинг – </w:t>
      </w:r>
      <w:r w:rsidRPr="005E1284">
        <w:rPr>
          <w:rFonts w:ascii="Times New Roman" w:hAnsi="Times New Roman"/>
          <w:color w:val="000000"/>
          <w:sz w:val="28"/>
          <w:szCs w:val="28"/>
        </w:rPr>
        <w:t xml:space="preserve">немецкий драматург, теоретик искусства и литературный критик-просветитель.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4.4 Трагедия «Эмилия Галотти» Г.Э. Лессинга как шедевр просветительской драматургии.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 5 Движение «Буря и натиск»: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5.1 «Буря и натиск» как немецкий вариант сентимента</w:t>
      </w:r>
      <w:r w:rsidRPr="00345418">
        <w:rPr>
          <w:rFonts w:ascii="Times New Roman" w:hAnsi="Times New Roman"/>
          <w:sz w:val="28"/>
          <w:szCs w:val="28"/>
        </w:rPr>
        <w:softHyphen/>
        <w:t xml:space="preserve">лизма. Лирический герой бурных гениев. 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bCs/>
          <w:sz w:val="28"/>
          <w:szCs w:val="28"/>
        </w:rPr>
      </w:pPr>
      <w:r w:rsidRPr="00345418">
        <w:rPr>
          <w:rFonts w:ascii="Times New Roman" w:hAnsi="Times New Roman"/>
          <w:bCs/>
          <w:sz w:val="28"/>
          <w:szCs w:val="28"/>
        </w:rPr>
        <w:t xml:space="preserve">5.2 Роман И.В. Гёте «Страдания юного Вертера». 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5.3 Баллада Г.А. Бюргера «Ленора».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5.4 Драма Ф. Шиллера «Коварство и любовь».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 6 Творчество И.В. Гёте и Ф. Шиллера как вершина немецкой классики:</w:t>
      </w:r>
    </w:p>
    <w:p w:rsidR="00E2305B" w:rsidRPr="00345418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6.1 </w:t>
      </w:r>
      <w:r w:rsidRPr="00345418">
        <w:rPr>
          <w:rFonts w:ascii="Times New Roman" w:hAnsi="Times New Roman"/>
          <w:sz w:val="28"/>
          <w:szCs w:val="28"/>
        </w:rPr>
        <w:t>Лирическое наследие И.В. Гёте.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lastRenderedPageBreak/>
        <w:t>6.2 Лирическое наследие Ф. Шиллера.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 xml:space="preserve">6.3 «Веймарский классицизм» И.В. Гёте и  Ф. Шиллера. 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6.4 «Фауст» И.В. Гёте.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 7 Ранний немецкий романтизм: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7.1 Сущность романтизма как художественного направления. Особенности романтического стиля в литературе.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7.2 Йенский романтизм. Создание романтической теории: Ф. Шлегель, А.В. Шлегель, Ф.В. Шеллинг, Ф. Шлейермахер. Реализация романтической теории: Новалис, В.Г. Ваккенродер, Л.И. Тик.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7.3 </w:t>
      </w:r>
      <w:r w:rsidRPr="005E1284">
        <w:rPr>
          <w:rFonts w:ascii="Times New Roman" w:hAnsi="Times New Roman"/>
          <w:bCs/>
          <w:sz w:val="28"/>
          <w:szCs w:val="28"/>
        </w:rPr>
        <w:t>Социально-историческая основа г</w:t>
      </w:r>
      <w:r w:rsidRPr="005E1284">
        <w:rPr>
          <w:rFonts w:ascii="Times New Roman" w:hAnsi="Times New Roman"/>
          <w:sz w:val="28"/>
          <w:szCs w:val="28"/>
        </w:rPr>
        <w:t xml:space="preserve">ейдельбергского романтизма, его выдающиеся представители: </w:t>
      </w:r>
      <w:r w:rsidRPr="005E1284">
        <w:rPr>
          <w:rFonts w:ascii="Times New Roman" w:hAnsi="Times New Roman"/>
          <w:bCs/>
          <w:sz w:val="28"/>
          <w:szCs w:val="28"/>
        </w:rPr>
        <w:t>Л.А. Арним, К. Брентано, Й. фон Эйхендорф, В. Мюллер, Я. и В. Гримм, Г. фон Клейст.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 8 Поздний немецкий романтизм: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8.1 Двоемирие как художественный метод Э.Т.А. Гофмана. Повесть-сказка «Золотой горшок», сказочная новелла «Крошка Цахес по прозванию Циннобер».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8.2 К</w:t>
      </w:r>
      <w:r w:rsidRPr="005E1284">
        <w:rPr>
          <w:rFonts w:ascii="Times New Roman" w:hAnsi="Times New Roman"/>
          <w:color w:val="000000"/>
          <w:sz w:val="28"/>
          <w:szCs w:val="28"/>
        </w:rPr>
        <w:t xml:space="preserve">онкретно-исторический демократизм поэзии и прозы </w:t>
      </w:r>
      <w:r w:rsidRPr="005E1284">
        <w:rPr>
          <w:rFonts w:ascii="Times New Roman" w:hAnsi="Times New Roman"/>
          <w:bCs/>
          <w:sz w:val="28"/>
          <w:szCs w:val="28"/>
        </w:rPr>
        <w:t>А. фон Шамиссо.</w:t>
      </w:r>
    </w:p>
    <w:p w:rsidR="00E2305B" w:rsidRPr="005E1284" w:rsidRDefault="00E2305B" w:rsidP="005E1284">
      <w:pPr>
        <w:spacing w:after="0" w:line="240" w:lineRule="auto"/>
        <w:jc w:val="both"/>
        <w:rPr>
          <w:rStyle w:val="a9"/>
          <w:rFonts w:ascii="Times New Roman" w:hAnsi="Times New Roman"/>
          <w:b w:val="0"/>
          <w:bCs/>
          <w:sz w:val="28"/>
          <w:szCs w:val="28"/>
        </w:rPr>
      </w:pPr>
      <w:r w:rsidRPr="005E1284">
        <w:rPr>
          <w:rStyle w:val="a9"/>
          <w:rFonts w:ascii="Times New Roman" w:hAnsi="Times New Roman"/>
          <w:b w:val="0"/>
          <w:bCs/>
          <w:sz w:val="28"/>
          <w:szCs w:val="28"/>
        </w:rPr>
        <w:t>8.3 Завершение и преодоление романтизма в поэзии и прозе Г. Гейне.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Тема 9 Немецкий реализм </w:t>
      </w:r>
      <w:r w:rsidRPr="005E1284">
        <w:rPr>
          <w:rFonts w:ascii="Times New Roman" w:hAnsi="Times New Roman"/>
          <w:sz w:val="28"/>
          <w:szCs w:val="28"/>
          <w:lang w:val="de-DE"/>
        </w:rPr>
        <w:t>XIX</w:t>
      </w:r>
      <w:r w:rsidRPr="005E1284">
        <w:rPr>
          <w:rFonts w:ascii="Times New Roman" w:hAnsi="Times New Roman"/>
          <w:sz w:val="28"/>
          <w:szCs w:val="28"/>
        </w:rPr>
        <w:t xml:space="preserve"> века: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 xml:space="preserve">9.1 Проблема поэтического реализма в немецкой литературе. 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 xml:space="preserve">9.2 </w:t>
      </w:r>
      <w:r w:rsidRPr="00345418">
        <w:rPr>
          <w:rStyle w:val="a9"/>
          <w:rFonts w:ascii="Times New Roman" w:hAnsi="Times New Roman"/>
          <w:b w:val="0"/>
          <w:bCs/>
          <w:sz w:val="28"/>
          <w:szCs w:val="28"/>
        </w:rPr>
        <w:t xml:space="preserve">Т. Шторм как  лирик и новеллист. </w:t>
      </w:r>
      <w:r w:rsidRPr="00345418">
        <w:rPr>
          <w:rFonts w:ascii="Times New Roman" w:hAnsi="Times New Roman"/>
          <w:sz w:val="28"/>
          <w:szCs w:val="28"/>
        </w:rPr>
        <w:t>Связь Шторма с романтической традицией (</w:t>
      </w:r>
      <w:r w:rsidRPr="00345418">
        <w:rPr>
          <w:rFonts w:ascii="Times New Roman" w:hAnsi="Times New Roman"/>
          <w:bCs/>
          <w:sz w:val="28"/>
          <w:szCs w:val="28"/>
        </w:rPr>
        <w:t>Й. фон Эйхендорф</w:t>
      </w:r>
      <w:r w:rsidRPr="00345418">
        <w:rPr>
          <w:rFonts w:ascii="Times New Roman" w:hAnsi="Times New Roman"/>
          <w:sz w:val="28"/>
          <w:szCs w:val="28"/>
        </w:rPr>
        <w:t xml:space="preserve">). 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 xml:space="preserve">9.3 Социально-психологическая проза Т. Фонтане. Роман «Эффи Брист». 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9.4 Немецкий  натурализм в лице Г. Гауптмана. Драмы «Перед заходом солнца» и «Ткачи».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Тема 10 Модернизм в немецкоязычном пространстве начала </w:t>
      </w:r>
      <w:r w:rsidRPr="005E1284">
        <w:rPr>
          <w:rFonts w:ascii="Times New Roman" w:hAnsi="Times New Roman"/>
          <w:sz w:val="28"/>
          <w:szCs w:val="28"/>
          <w:lang w:val="de-DE"/>
        </w:rPr>
        <w:t>XX</w:t>
      </w:r>
      <w:r w:rsidRPr="005E1284">
        <w:rPr>
          <w:rFonts w:ascii="Times New Roman" w:hAnsi="Times New Roman"/>
          <w:sz w:val="28"/>
          <w:szCs w:val="28"/>
        </w:rPr>
        <w:t xml:space="preserve"> века: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10.1 Сущность модернизма как художественного направления. Школы модернизма в Европе.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10.2 «Экпрессионистское десятилетие» в Германии, его выдающиеся представители: Г. Гейм, Г. Тракль, Э. Мюзам, Г. Кайзер, В. Газенклевер, Э. Толлер, Л. Франк.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10.3 Художественный мир Ф. Кафки. Новелла «Превращение». Роман «Процесс».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 11 Литература «потерянного поколения»: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 xml:space="preserve">11.1 Литература «потерянного поколения» как явление культуры </w:t>
      </w:r>
      <w:r w:rsidRPr="00345418">
        <w:rPr>
          <w:rFonts w:ascii="Times New Roman" w:hAnsi="Times New Roman"/>
          <w:sz w:val="28"/>
          <w:szCs w:val="28"/>
          <w:lang w:val="de-DE"/>
        </w:rPr>
        <w:t>XX</w:t>
      </w:r>
      <w:r w:rsidRPr="00345418">
        <w:rPr>
          <w:rFonts w:ascii="Times New Roman" w:hAnsi="Times New Roman"/>
          <w:sz w:val="28"/>
          <w:szCs w:val="28"/>
        </w:rPr>
        <w:t xml:space="preserve"> века.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11.2 Романы Э.М. Ремарка «На западном фронте без перемен» и «Три товарища».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11.3 Причины особого интереса российских читателей к произведениям Э.М. Ремарка.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Тема 12 Немецкий реализм </w:t>
      </w:r>
      <w:r w:rsidRPr="005E1284">
        <w:rPr>
          <w:rFonts w:ascii="Times New Roman" w:hAnsi="Times New Roman"/>
          <w:sz w:val="28"/>
          <w:szCs w:val="28"/>
          <w:lang w:val="de-DE"/>
        </w:rPr>
        <w:t>XX</w:t>
      </w:r>
      <w:r w:rsidRPr="005E1284">
        <w:rPr>
          <w:rFonts w:ascii="Times New Roman" w:hAnsi="Times New Roman"/>
          <w:sz w:val="28"/>
          <w:szCs w:val="28"/>
        </w:rPr>
        <w:t xml:space="preserve"> века: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12.1 Т. Манн как создатель «интеллектуального романа». От «Будденброков» к «Волшебной горе».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2.2 Г"/>
        </w:smartTagPr>
        <w:r w:rsidRPr="005E1284">
          <w:rPr>
            <w:rFonts w:ascii="Times New Roman" w:hAnsi="Times New Roman"/>
            <w:sz w:val="28"/>
            <w:szCs w:val="28"/>
          </w:rPr>
          <w:t>12.2 Г</w:t>
        </w:r>
      </w:smartTag>
      <w:r w:rsidRPr="005E1284">
        <w:rPr>
          <w:rFonts w:ascii="Times New Roman" w:hAnsi="Times New Roman"/>
          <w:sz w:val="28"/>
          <w:szCs w:val="28"/>
        </w:rPr>
        <w:t xml:space="preserve">. Манн – создатель социально-обличительного романа. Романы «Верноподданный»  и «Профессор Гнус».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lastRenderedPageBreak/>
        <w:t>12.3 Социальная проблематика через призму исторического опыта в произведениях Л. Фейхтвангера. Роман «Лисы в винограднике».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Style w:val="a9"/>
          <w:rFonts w:ascii="Times New Roman" w:hAnsi="Times New Roman"/>
          <w:b w:val="0"/>
          <w:bCs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</w:t>
      </w:r>
      <w:r w:rsidRPr="005E1284">
        <w:rPr>
          <w:rStyle w:val="a9"/>
          <w:rFonts w:ascii="Times New Roman" w:hAnsi="Times New Roman"/>
          <w:b w:val="0"/>
          <w:bCs/>
          <w:sz w:val="28"/>
          <w:szCs w:val="28"/>
        </w:rPr>
        <w:t xml:space="preserve"> 13 Творчество Г. Гессе:</w:t>
      </w:r>
    </w:p>
    <w:p w:rsidR="00E2305B" w:rsidRPr="005E1284" w:rsidRDefault="00E2305B" w:rsidP="005E1284">
      <w:pPr>
        <w:spacing w:after="0" w:line="240" w:lineRule="auto"/>
        <w:jc w:val="both"/>
        <w:rPr>
          <w:rStyle w:val="a9"/>
          <w:rFonts w:ascii="Times New Roman" w:hAnsi="Times New Roman"/>
          <w:b w:val="0"/>
          <w:bCs/>
          <w:sz w:val="28"/>
          <w:szCs w:val="28"/>
        </w:rPr>
      </w:pPr>
      <w:r w:rsidRPr="005E1284">
        <w:rPr>
          <w:rStyle w:val="a9"/>
          <w:rFonts w:ascii="Times New Roman" w:hAnsi="Times New Roman"/>
          <w:b w:val="0"/>
          <w:bCs/>
          <w:sz w:val="28"/>
          <w:szCs w:val="28"/>
        </w:rPr>
        <w:t>13.1 Г. Гессе как «последний рыцарь блестящей когорты романтизма».</w:t>
      </w:r>
    </w:p>
    <w:p w:rsidR="00E2305B" w:rsidRPr="005E1284" w:rsidRDefault="00E2305B" w:rsidP="005E1284">
      <w:pPr>
        <w:spacing w:after="0" w:line="240" w:lineRule="auto"/>
        <w:jc w:val="both"/>
        <w:rPr>
          <w:rStyle w:val="a9"/>
          <w:rFonts w:ascii="Times New Roman" w:hAnsi="Times New Roman"/>
          <w:b w:val="0"/>
          <w:bCs/>
          <w:sz w:val="28"/>
          <w:szCs w:val="28"/>
        </w:rPr>
      </w:pPr>
      <w:r w:rsidRPr="005E1284">
        <w:rPr>
          <w:rStyle w:val="a9"/>
          <w:rFonts w:ascii="Times New Roman" w:hAnsi="Times New Roman"/>
          <w:b w:val="0"/>
          <w:bCs/>
          <w:sz w:val="28"/>
          <w:szCs w:val="28"/>
        </w:rPr>
        <w:t>13.2 Слияние модернистских и традиционных тенденций в романе  «Степной волк»</w:t>
      </w:r>
      <w:r w:rsidRPr="005E1284">
        <w:rPr>
          <w:rFonts w:ascii="Times New Roman" w:hAnsi="Times New Roman"/>
          <w:sz w:val="28"/>
          <w:szCs w:val="28"/>
        </w:rPr>
        <w:t>.</w:t>
      </w:r>
    </w:p>
    <w:p w:rsidR="00E2305B" w:rsidRPr="005E1284" w:rsidRDefault="00E2305B" w:rsidP="005E1284">
      <w:pPr>
        <w:spacing w:after="0" w:line="240" w:lineRule="auto"/>
        <w:jc w:val="both"/>
        <w:rPr>
          <w:rStyle w:val="a9"/>
          <w:rFonts w:ascii="Times New Roman" w:hAnsi="Times New Roman"/>
          <w:b w:val="0"/>
          <w:bCs/>
          <w:sz w:val="28"/>
          <w:szCs w:val="28"/>
        </w:rPr>
      </w:pPr>
      <w:r w:rsidRPr="005E1284">
        <w:rPr>
          <w:rStyle w:val="a9"/>
          <w:rFonts w:ascii="Times New Roman" w:hAnsi="Times New Roman"/>
          <w:b w:val="0"/>
          <w:bCs/>
          <w:sz w:val="28"/>
          <w:szCs w:val="28"/>
        </w:rPr>
        <w:t>13.3 Роман «Игра в бисер» как предтеча постмодернизма.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Style w:val="a9"/>
          <w:rFonts w:ascii="Times New Roman" w:hAnsi="Times New Roman"/>
          <w:b w:val="0"/>
          <w:bCs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</w:t>
      </w:r>
      <w:r w:rsidRPr="005E1284">
        <w:rPr>
          <w:rStyle w:val="a9"/>
          <w:rFonts w:ascii="Times New Roman" w:hAnsi="Times New Roman"/>
          <w:b w:val="0"/>
          <w:bCs/>
          <w:sz w:val="28"/>
          <w:szCs w:val="28"/>
        </w:rPr>
        <w:t xml:space="preserve"> 14 Послевоенная немецкая литература в разделённой Германии: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14.1 Западная Германия: обращение к прерванным культурным традициям. «Группа 47». Творчество В. Борхерта, Г. Бёлля.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14.2 Роман Г. Грасса «Жестяной барабан».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14.3 Особые  условия развития культуры в ГДР. Давление  партийных догм и эстетических канонов. Творчество И. Бехера, К. Вольф.</w:t>
      </w:r>
    </w:p>
    <w:p w:rsidR="00E2305B" w:rsidRPr="005E1284" w:rsidRDefault="00E2305B" w:rsidP="005E1284">
      <w:pPr>
        <w:spacing w:after="0" w:line="240" w:lineRule="auto"/>
        <w:jc w:val="both"/>
        <w:rPr>
          <w:rStyle w:val="a9"/>
          <w:rFonts w:ascii="Times New Roman" w:hAnsi="Times New Roman"/>
          <w:b w:val="0"/>
          <w:bCs/>
          <w:sz w:val="28"/>
          <w:szCs w:val="28"/>
        </w:rPr>
      </w:pPr>
      <w:r w:rsidRPr="005E1284">
        <w:rPr>
          <w:rStyle w:val="a9"/>
          <w:rFonts w:ascii="Times New Roman" w:hAnsi="Times New Roman"/>
          <w:b w:val="0"/>
          <w:bCs/>
          <w:sz w:val="28"/>
          <w:szCs w:val="28"/>
        </w:rPr>
        <w:t xml:space="preserve">14.4 Роман А. Зегерс «Седьмой крест».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Тема 15 Эпический театр Б. Брехта: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15.1 Общая притчевая установка авторского стиля Б. Брехта.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15.2 Противопоставление драматического и эпического театра. Особенности сюжета эпической драмы. Эффект отчуждения.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15.3 Пьесы «Трёхгрошовая опера», «Мамаша Кураж и ее дети», «Жизнь Галилея».</w:t>
      </w:r>
    </w:p>
    <w:p w:rsidR="00E2305B" w:rsidRPr="00345418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Тема 16 Современная литература Германии: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>16.1 Произведения современных авторов как отражение многогранной социальной и литературной реальности: обзор. Характеристика творчества Э. Хайденрайх, Б. Шлинка, М. Вернера, И. Шульце, А. Пент.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</w:rPr>
      </w:pPr>
      <w:r w:rsidRPr="00345418">
        <w:rPr>
          <w:rFonts w:ascii="Times New Roman" w:hAnsi="Times New Roman"/>
          <w:sz w:val="28"/>
          <w:szCs w:val="28"/>
        </w:rPr>
        <w:t xml:space="preserve">16.2 </w:t>
      </w:r>
      <w:r w:rsidRPr="00345418">
        <w:rPr>
          <w:rStyle w:val="a9"/>
          <w:rFonts w:ascii="Times New Roman" w:hAnsi="Times New Roman"/>
          <w:b w:val="0"/>
          <w:bCs/>
          <w:sz w:val="28"/>
          <w:szCs w:val="28"/>
        </w:rPr>
        <w:t xml:space="preserve">Роман </w:t>
      </w:r>
      <w:r w:rsidRPr="00345418">
        <w:rPr>
          <w:rFonts w:ascii="Times New Roman" w:hAnsi="Times New Roman"/>
          <w:sz w:val="28"/>
          <w:szCs w:val="28"/>
        </w:rPr>
        <w:t>П. Зюскинда «Парфюмер» как характерное произведение постмодернизма.</w:t>
      </w:r>
    </w:p>
    <w:p w:rsidR="00E2305B" w:rsidRPr="00345418" w:rsidRDefault="00E2305B" w:rsidP="005E1284">
      <w:pPr>
        <w:pStyle w:val="ReportMain"/>
        <w:suppressAutoHyphens/>
        <w:jc w:val="both"/>
        <w:rPr>
          <w:rFonts w:ascii="Times New Roman" w:hAnsi="Times New Roman"/>
          <w:sz w:val="28"/>
          <w:szCs w:val="28"/>
          <w:lang w:eastAsia="en-US"/>
        </w:rPr>
      </w:pPr>
      <w:r w:rsidRPr="00345418">
        <w:rPr>
          <w:rFonts w:ascii="Times New Roman" w:hAnsi="Times New Roman"/>
          <w:sz w:val="28"/>
          <w:szCs w:val="28"/>
        </w:rPr>
        <w:t>16.3 Р</w:t>
      </w:r>
      <w:r w:rsidRPr="00345418">
        <w:rPr>
          <w:rFonts w:ascii="Times New Roman" w:hAnsi="Times New Roman"/>
          <w:sz w:val="28"/>
          <w:szCs w:val="28"/>
          <w:highlight w:val="white"/>
          <w:lang w:eastAsia="en-US"/>
        </w:rPr>
        <w:t xml:space="preserve">оман У. Тимма «На примере брата» </w:t>
      </w:r>
      <w:r w:rsidRPr="00345418">
        <w:rPr>
          <w:rFonts w:ascii="Times New Roman" w:hAnsi="Times New Roman"/>
          <w:sz w:val="28"/>
          <w:szCs w:val="28"/>
          <w:lang w:eastAsia="en-US"/>
        </w:rPr>
        <w:t xml:space="preserve">как пример объективного отражения </w:t>
      </w:r>
      <w:r w:rsidRPr="00345418">
        <w:rPr>
          <w:rFonts w:ascii="Times New Roman" w:hAnsi="Times New Roman"/>
          <w:sz w:val="28"/>
          <w:szCs w:val="28"/>
        </w:rPr>
        <w:t>исторической памяти о «Русском походе».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b/>
          <w:sz w:val="28"/>
          <w:szCs w:val="28"/>
        </w:rPr>
        <w:t>3 Методические рекомендации по работе с литературой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Любая форма самостоятельной работы студента (подготовка к семинарскому занятию, подготовка научного доклада, написание статьи и т.п.) начинается с изучения соответствующей литературы как в библиотеке, так и дома. К каждой теме учебной дисциплины подобрана основная и дополнительная литература. Основная литература  – это  учебники и учебные пособия. Дополнительная литература  – это  монографии, сборники научных трудов, журнальные и газетные статьи, различные справочники, энциклопедии, интернет-ресурсы.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Такое поверхностное ознакомление позволит узнать, какие главы следует читать внимательно, а какие поверхностно. В к</w:t>
      </w:r>
      <w:r w:rsidR="00345418">
        <w:rPr>
          <w:rFonts w:ascii="Times New Roman" w:hAnsi="Times New Roman"/>
          <w:sz w:val="28"/>
          <w:szCs w:val="28"/>
        </w:rPr>
        <w:t xml:space="preserve">ниге или журнале, принадлежащих </w:t>
      </w:r>
      <w:r w:rsidRPr="005E1284">
        <w:rPr>
          <w:rFonts w:ascii="Times New Roman" w:hAnsi="Times New Roman"/>
          <w:sz w:val="28"/>
          <w:szCs w:val="28"/>
        </w:rPr>
        <w:lastRenderedPageBreak/>
        <w:t xml:space="preserve">самому студенту, ключевые позиции можно выделять маркером или делать пометки на полях. При работе с интернет-источником целесообразно также выделять важную информацию. 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Выделяются следующие виды записей при работе с литературой: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Конспект – краткая 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Цитата – точное  воспроизведение текста, заключается в кавычки. Точно указывается страница источника.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Тезисы – концентрированное  изложение основных положений прочитанного материала.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 Аннотация – очень  краткое изложение содержания прочитанной работы.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 Резюме – наиболее 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Для подготовки к семинарским занятиям и более глубокого изучения теоретических положений основных разделов дисциплины рекомендуются следующие источники:</w:t>
      </w:r>
    </w:p>
    <w:p w:rsidR="00E2305B" w:rsidRPr="005E1284" w:rsidRDefault="00E2305B" w:rsidP="005E1284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Луков, В. А. История литературы. Зарубежная литература от истоков до наших дней [Текст] : учеб. пособие для вузов / В. А. Луков.- 5-е изд., стер. - М. : Академия, 2008. - (Высшее профессиональное образование). - Библиогр.: с. 490-492. - Имен. указ.: с. 493-507. - ISBN 978-5-7695-5073-7.</w:t>
      </w:r>
    </w:p>
    <w:p w:rsidR="00E2305B" w:rsidRPr="005E1284" w:rsidRDefault="00E2305B" w:rsidP="005E1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Рабинович, В.С. </w:t>
      </w:r>
      <w:hyperlink r:id="rId7" w:history="1">
        <w:r w:rsidRPr="005E1284">
          <w:rPr>
            <w:rFonts w:ascii="Times New Roman" w:hAnsi="Times New Roman"/>
            <w:bCs/>
            <w:spacing w:val="5"/>
            <w:sz w:val="28"/>
            <w:szCs w:val="28"/>
            <w:bdr w:val="none" w:sz="0" w:space="0" w:color="auto" w:frame="1"/>
          </w:rPr>
          <w:t>История зарубежной литературы XIX века: Романтизм</w:t>
        </w:r>
      </w:hyperlink>
      <w:r w:rsidRPr="005E1284">
        <w:rPr>
          <w:rFonts w:ascii="Times New Roman" w:hAnsi="Times New Roman"/>
          <w:sz w:val="28"/>
          <w:szCs w:val="28"/>
        </w:rPr>
        <w:t xml:space="preserve"> </w:t>
      </w:r>
      <w:r w:rsidRPr="005E1284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5E1284">
        <w:rPr>
          <w:rFonts w:ascii="Times New Roman" w:hAnsi="Times New Roman"/>
          <w:sz w:val="28"/>
          <w:szCs w:val="28"/>
        </w:rPr>
        <w:t xml:space="preserve">: </w:t>
      </w:r>
      <w:r w:rsidRPr="005E1284">
        <w:rPr>
          <w:rFonts w:ascii="Times New Roman" w:hAnsi="Times New Roman"/>
          <w:bCs/>
          <w:kern w:val="36"/>
          <w:sz w:val="28"/>
          <w:szCs w:val="28"/>
        </w:rPr>
        <w:t xml:space="preserve">учебное пособие </w:t>
      </w:r>
      <w:r w:rsidRPr="005E1284">
        <w:rPr>
          <w:rFonts w:ascii="Times New Roman" w:hAnsi="Times New Roman"/>
          <w:color w:val="000000"/>
          <w:sz w:val="28"/>
          <w:szCs w:val="28"/>
        </w:rPr>
        <w:t xml:space="preserve">/ </w:t>
      </w:r>
      <w:r w:rsidRPr="005E1284">
        <w:rPr>
          <w:rFonts w:ascii="Times New Roman" w:hAnsi="Times New Roman"/>
          <w:sz w:val="28"/>
          <w:szCs w:val="28"/>
        </w:rPr>
        <w:t xml:space="preserve">В.С. Рабинович. – Екатеринбург: Изд-во УрФУ, 2014. </w:t>
      </w:r>
      <w:r w:rsidRPr="005E1284">
        <w:rPr>
          <w:rFonts w:ascii="Times New Roman" w:hAnsi="Times New Roman"/>
          <w:color w:val="000000"/>
          <w:sz w:val="28"/>
          <w:szCs w:val="28"/>
        </w:rPr>
        <w:t xml:space="preserve">– Режим доступа: </w:t>
      </w:r>
      <w:hyperlink r:id="rId8" w:history="1">
        <w:r w:rsidRPr="005E1284">
          <w:rPr>
            <w:rFonts w:ascii="Times New Roman" w:hAnsi="Times New Roman"/>
            <w:color w:val="0000FF"/>
            <w:sz w:val="28"/>
            <w:szCs w:val="28"/>
            <w:u w:val="single"/>
          </w:rPr>
          <w:t>http://biblioclub.ru/index.php?page=book_view_red&amp;book_id=275944</w:t>
        </w:r>
      </w:hyperlink>
    </w:p>
    <w:p w:rsidR="00E2305B" w:rsidRPr="005E1284" w:rsidRDefault="00E2305B" w:rsidP="005E1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>Андреев, Л.Г. Зарубежная литература XX века : учеб. для вузов / под ред. Л.Г. Андреева – 2-е изд. испр. и доп. М. : Высш. школа, 2004.</w:t>
      </w:r>
    </w:p>
    <w:p w:rsidR="00E2305B" w:rsidRPr="005E1284" w:rsidRDefault="00E2305B" w:rsidP="005E1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>Гиленсон, Б.А. История  зарубежной литературы от Античности до середины XIX века. В 2 т. : учебник для академического бакалавриата /Б.А. Гиленсон. – М. : Издательство Юрайт, 2016.</w:t>
      </w:r>
    </w:p>
    <w:p w:rsidR="00E2305B" w:rsidRPr="005E1284" w:rsidRDefault="00E2305B" w:rsidP="005E1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 xml:space="preserve">Гуляев, Н.А. История немецкой литературы : учебник для студентов факультетов и институтов иностранных языков / Н.А. Гуляев и др. – М. : Высшая школа, 1975. </w:t>
      </w:r>
    </w:p>
    <w:p w:rsidR="00E2305B" w:rsidRPr="005E1284" w:rsidRDefault="00E2305B" w:rsidP="005E1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Погребная, Я.В. История зарубежной литературы Средних веков и Эпохи Возрождения [Электронный ресурс] : учебно-методическое пособие / Я.В. Погребная. – Ставрополь: Изд-во СКФУ, 2014. </w:t>
      </w:r>
    </w:p>
    <w:p w:rsidR="00E2305B" w:rsidRPr="005E1284" w:rsidRDefault="00E2305B" w:rsidP="005E1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>Пронин, В.А. История немецкой литературы : учебное пособие для студентов вузов / В.А. Пронин. – М. : Университетская книга; Логос, 2007.</w:t>
      </w:r>
    </w:p>
    <w:p w:rsidR="00E2305B" w:rsidRPr="005E1284" w:rsidRDefault="00E2305B" w:rsidP="005E1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>Виппер, Ю.Б. Поэзия барокко и классицизма (Виппер Ю. Б. Творческие судьбы и история (О западноевропейских литературах XVI – первой половины XIX века). – М., 1990. – С. 79-107)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>Ганин, В.Н. История зарубежной литературы XVII-XVIII веков : учебник для академического бакалавриата / В.Н. Ганин, Вл.А. Луков, Чернозёмова Е.Н.; под ред. В.Н. Ганина. – М. : Издательство Юрайт, 2016.</w:t>
      </w:r>
    </w:p>
    <w:p w:rsidR="00E2305B" w:rsidRPr="005E1284" w:rsidRDefault="00E2305B" w:rsidP="005E128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 xml:space="preserve">Морозов, А.А. «Затейливый Симплициссимус» и его литературная судьба : вступительная статья к роману Г. Гриммельсгаузена / А.А. Морозов. – М. : Художественная литература, 1976.   </w:t>
      </w:r>
      <w:r w:rsidRPr="005E1284">
        <w:rPr>
          <w:rFonts w:ascii="Times New Roman" w:hAnsi="Times New Roman"/>
          <w:color w:val="000000"/>
          <w:sz w:val="28"/>
          <w:szCs w:val="28"/>
        </w:rPr>
        <w:tab/>
      </w:r>
    </w:p>
    <w:p w:rsidR="00E2305B" w:rsidRPr="005E1284" w:rsidRDefault="00E2305B" w:rsidP="005E128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>Аверинцев, С.С. Путь Германа Гессе : статья-предисловие к сочинениям Германа Гессе. – М. : «Художественная литература», 1977.</w:t>
      </w:r>
    </w:p>
    <w:p w:rsidR="00E2305B" w:rsidRPr="005E1284" w:rsidRDefault="00E2305B" w:rsidP="005E128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 xml:space="preserve">Маркович, Е. Гессе и его роман «Игра в бисер» : статья-предисловие к роману «Игра в бисер». – М. : «Художественная литература», 1969. </w:t>
      </w:r>
    </w:p>
    <w:p w:rsidR="00E2305B" w:rsidRPr="005E1284" w:rsidRDefault="00E2305B" w:rsidP="005E128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>Апт, С.К. Представительная музыка прозы : статья-предисловие к сочинениям Томаса Манна. – М. : «АСТ», 2004.</w:t>
      </w:r>
    </w:p>
    <w:p w:rsidR="00E2305B" w:rsidRPr="005E1284" w:rsidRDefault="00E2305B" w:rsidP="005E128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1284">
        <w:rPr>
          <w:rFonts w:ascii="Times New Roman" w:hAnsi="Times New Roman"/>
          <w:color w:val="000000"/>
          <w:sz w:val="28"/>
          <w:szCs w:val="28"/>
        </w:rPr>
        <w:t>Дмитриев, А.С. Генрих Манн. Основные вехи творческого пути : статья-предисловие к сочинениям Генриха Манна. – М. : «Правда», 1985.</w:t>
      </w:r>
    </w:p>
    <w:p w:rsidR="00E2305B" w:rsidRPr="005E1284" w:rsidRDefault="00E2305B" w:rsidP="005E12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С целью успешного освоения дисциплины «Литература страны изучаемого языка» студенты должны прочитать «литературный минимум», включающий следующие произведения:</w:t>
      </w:r>
    </w:p>
    <w:p w:rsidR="00E2305B" w:rsidRPr="005E1284" w:rsidRDefault="00E2305B" w:rsidP="005E128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5E1284">
        <w:rPr>
          <w:rFonts w:ascii="Times New Roman" w:hAnsi="Times New Roman"/>
          <w:b/>
          <w:sz w:val="28"/>
          <w:szCs w:val="28"/>
        </w:rPr>
        <w:t xml:space="preserve">«Литературный минимум» на </w:t>
      </w:r>
      <w:r w:rsidRPr="005E1284">
        <w:rPr>
          <w:rFonts w:ascii="Times New Roman" w:hAnsi="Times New Roman"/>
          <w:b/>
          <w:sz w:val="28"/>
          <w:szCs w:val="28"/>
          <w:lang w:val="de-DE"/>
        </w:rPr>
        <w:t>I</w:t>
      </w:r>
      <w:r w:rsidRPr="005E1284">
        <w:rPr>
          <w:rFonts w:ascii="Times New Roman" w:hAnsi="Times New Roman"/>
          <w:b/>
          <w:sz w:val="28"/>
          <w:szCs w:val="28"/>
        </w:rPr>
        <w:t xml:space="preserve"> семестр: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 «Песнь о Нибелунгах» (старонемецкий эпос);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 </w:t>
      </w:r>
      <w:r w:rsidRPr="005E1284">
        <w:rPr>
          <w:rFonts w:ascii="Times New Roman" w:hAnsi="Times New Roman"/>
          <w:bCs/>
          <w:sz w:val="28"/>
          <w:szCs w:val="28"/>
        </w:rPr>
        <w:t>2 О</w:t>
      </w:r>
      <w:r w:rsidRPr="005E1284">
        <w:rPr>
          <w:rFonts w:ascii="Times New Roman" w:hAnsi="Times New Roman"/>
          <w:sz w:val="28"/>
          <w:szCs w:val="28"/>
        </w:rPr>
        <w:t>дна из трёх книг:</w:t>
      </w:r>
      <w:r w:rsidRPr="005E128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E1284">
        <w:rPr>
          <w:rFonts w:ascii="Times New Roman" w:hAnsi="Times New Roman"/>
          <w:sz w:val="28"/>
          <w:szCs w:val="28"/>
        </w:rPr>
        <w:t>«Нем</w:t>
      </w:r>
      <w:r w:rsidRPr="005E1284">
        <w:rPr>
          <w:rFonts w:ascii="Times New Roman" w:hAnsi="Times New Roman"/>
          <w:bCs/>
          <w:sz w:val="28"/>
          <w:szCs w:val="28"/>
        </w:rPr>
        <w:t>ецкая народная книга о Шильдбюргерах, или о том, как жители города Шильды от великого ума глупостью спасались»;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- «История о докторе Иоганне Фаусте, знаменитом чародее и чернокнижнике»;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- Э. Кэстнер «Тиль Уленшпигель»;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3 С. Брант «Корабль дураков» (поэма);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4 Э. Роттердамский «Похвальное слово глупости» (трактат в жанре иронического панегирика);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5 Г. Гриммельсгаузен «Симплициссимус» (роман);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6 Г.Э. Лессинг «Эмилия Галотти» (трагедия);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7 И.В. Гёте «Фауст» (трагедия), «Страдания юного Вертера» (роман в письмах);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8 Ф. Шиллер «Коварство и любовь» (драма);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9 Э.Т.А. Гофман «Золотой горшок» (повесть-сказка), «Крошка Цахес по прозванию Циннобер» (сказочная новелла);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10 Т. Шторм «Иммензее» (новелла), «Всадник на белом коне» (новелла).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E1284">
        <w:rPr>
          <w:rFonts w:ascii="Times New Roman" w:hAnsi="Times New Roman"/>
          <w:b/>
          <w:sz w:val="28"/>
          <w:szCs w:val="28"/>
        </w:rPr>
        <w:t>«Литературный минимум» на II семестр: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lastRenderedPageBreak/>
        <w:t>1 Т. Шторм «Иммензее» (новелла) либо «Всадник на белом коне» (новелла);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2 Т. Фонтане «Эффи Брист» (роман);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3 Г. Гауптман  «Перед заходом солнца» (драма) либо «Ткачи» (драма);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4 Г. Манн «Верноподданный» (роман) либо «Профессор Унрат» («Учитель Гнус») (роман);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5 Т. Манн «Волшебная гора» (роман) или «Будденброки» (роман), «Тонио Крегер» (новелла) или «Тристан» (новелла);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6 Л. Фейхтвангер «Успех» (роман) либо «Лисы в винограднике» (роман)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7 С. Цвейг «Мария-Антуанетта» (роман); одна из новелл «Письмо незнакомки», «Амок», «Страх», «Двадцать четыре часа из жизни  женщины», «Лепорелла»;  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8 Ф. Кафка «Превращение» (новелла);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9 Г. Гессе «Игра в бисер» (роман);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10 Э.М. Ремарк «На западном фронте без перемен» (роман) или «Три товарища» (роман);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11 Б. Келлерман «Тоннель» (роман);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12 Й. Бехер «Прощание» (роман) (факультативно);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13 Б. Брехт «Мамаш Кураж и её дети» (драма) или «Трёхгрошовая опера» (драма) / «Трёхгрошовый роман»;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14 А. Зегерс «Седьмой крест» (роман);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15Г. Грасс «Жестяной барабан» (роман);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16 К. Вольф «Расколотое небо» (повесть);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17 У. Тимм «На примере брата» (повесть);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18 П. Зюскинд «Парфюмер» (роман).</w:t>
      </w:r>
    </w:p>
    <w:p w:rsidR="00E2305B" w:rsidRPr="005E1284" w:rsidRDefault="00E2305B" w:rsidP="005E12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Основная информация о прочитанных произведениях должна быть отражена в читательском дневнике. </w:t>
      </w:r>
    </w:p>
    <w:p w:rsidR="00E2305B" w:rsidRPr="005E1284" w:rsidRDefault="00E2305B" w:rsidP="005E12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2305B" w:rsidRPr="005E1284" w:rsidRDefault="00E2305B" w:rsidP="005E1284">
      <w:pPr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5E1284">
        <w:rPr>
          <w:rFonts w:ascii="Times New Roman" w:hAnsi="Times New Roman"/>
          <w:b/>
          <w:sz w:val="28"/>
          <w:szCs w:val="28"/>
        </w:rPr>
        <w:t xml:space="preserve">Методические указания по ведению читательского дневника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Одним из видов самостоятельной работы в рамках дисциплины «Литература страны изучаемого языка» является ведение читательского дневника. Читательский дневник заполняется по мере прочтения произведений, входящих в программу дисциплины, и должен содержать основную информацию обо всех произведениях, относящихся к обязательному для прочтения литературному минимуму. Жестких правил по его ведению и оформлению нет. Но рекомендуется заполнять дневник письменно от руки. Есть многочисленные исследования, доказывающие, что письмо от руки заставляет мозг работать активнее, развивая мышление и память. К основной информации, необходимой для конспектирования в дневнике относятся: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- ФИО автора произведения,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- название произведения,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- год написания произведения,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- жанр произведения,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lastRenderedPageBreak/>
        <w:t>- краткий сюжет произведения,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- имена и характеристики основных героев.</w:t>
      </w:r>
    </w:p>
    <w:p w:rsidR="00E2305B" w:rsidRPr="005E1284" w:rsidRDefault="00E2305B" w:rsidP="005E1284">
      <w:pPr>
        <w:pStyle w:val="a8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5E1284">
        <w:rPr>
          <w:sz w:val="28"/>
          <w:szCs w:val="28"/>
        </w:rPr>
        <w:t>Данные пункты описания произведения можно дополнять и усложнять. Например, допустимо указать основных героев, их характеристику и связь с другими персонажами книги, привести биографию автора, если она как-то связана с произведением. Также в пункт «год написания» можно кратко изложить историческую справку, к примеру, какова была обстановка в стране, какое знаменательное событие затронуто в произведении, какова история создания произведения. Значимые цитаты из произведения могут хорошо дополнить и проиллюстрировать его описание.</w:t>
      </w:r>
    </w:p>
    <w:p w:rsidR="00E2305B" w:rsidRPr="005E1284" w:rsidRDefault="00E2305B" w:rsidP="005E1284">
      <w:pPr>
        <w:pStyle w:val="a8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5E1284">
        <w:rPr>
          <w:sz w:val="28"/>
          <w:szCs w:val="28"/>
        </w:rPr>
        <w:t>Не следует подробно описывать все главы. Важно описать основные действия произведения, отмечать важные детали, выписывать то, что запоминается с трудом. Следует помнить, что в дальнейшем нужно будет пользоваться записями в дневнике, поэтому рекомендуется их делать максимально понятными и удобными.</w:t>
      </w:r>
    </w:p>
    <w:p w:rsidR="00E2305B" w:rsidRPr="005E1284" w:rsidRDefault="00E2305B" w:rsidP="005E1284">
      <w:pPr>
        <w:pStyle w:val="a8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5E1284">
        <w:rPr>
          <w:sz w:val="28"/>
          <w:szCs w:val="28"/>
        </w:rPr>
        <w:t xml:space="preserve">Еще одним видом задания по ведению дневника может быть написание отзыва к особо значимым произведениям, входящим в программу. Отзыв – одна из самых интересных частей читательского дневника. Здесь необходимо описать собственные впечатления, мысли от прочитанной книги. </w:t>
      </w:r>
    </w:p>
    <w:p w:rsidR="00E2305B" w:rsidRPr="005E1284" w:rsidRDefault="00E2305B" w:rsidP="005E1284">
      <w:pPr>
        <w:pStyle w:val="a8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5E1284">
        <w:rPr>
          <w:sz w:val="28"/>
          <w:szCs w:val="28"/>
        </w:rPr>
        <w:t>Примерные вопросы, которые следует осветить в отзыве: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Какова основная идея произведения?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Чем Вам запомнились главные герои? Какие черты их характера, поступки  вызвали у Вас эмоции?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Чем особенным запомнилось произведение?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Что показалось необычным?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Какие моменты в книге заставили Вас задуматься?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О чем Вы размышляли после прочтения книги? Чему Вас научила книга?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Хочется ли перечитать книгу снова и почему?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Хочется ли прочесть книги этого же автора? Какие из них?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Посоветуете ли Вы эту книгу другим? Почему?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Проведите параллели событий, описанных в книге, с их освещением и толкованием в других произведениях.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ab/>
        <w:t xml:space="preserve">Контроль ведения дневника и степени его заполнения осуществляется два раза в семестр. 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5E1284">
        <w:rPr>
          <w:rFonts w:ascii="Times New Roman" w:hAnsi="Times New Roman"/>
          <w:b/>
          <w:sz w:val="28"/>
          <w:szCs w:val="28"/>
        </w:rPr>
        <w:lastRenderedPageBreak/>
        <w:t xml:space="preserve">5 Методические рекомендации по подготовке научного доклада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Одной из форм самостоятельной работы студента является подготовка научного доклада, для обсуждения его на семинарском занятии или студенческой научно-практической конференции. Цель научного доклада – развитие  у студентов навыков аналитической работы с научной литературой, анализа дискуссионных научных позиций и практического материала, аргументации собственных взглядов. Подготовка научных докладов также развивает творческий потенциал студентов. Научный доклад готовится под руководством преподавателя, который преподает дисциплину «Литература страны изучаемого языка».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Перед началом работы по написанию научного доклада следует согласовать с преподавателем тему, структуру,  литературу, а также обсудить ключевые вопросы, которые следует раскрыть в докладе. После завершения работы над докладом его необходимо представить в письменной форме. Выступление с докладом на конференции должно длиться примерно 10 минут и сопровождаться презентацией. </w:t>
      </w:r>
    </w:p>
    <w:p w:rsidR="00E2305B" w:rsidRPr="005E1284" w:rsidRDefault="00E2305B" w:rsidP="005E1284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Примеры тем научно-исследовательских работ студентов, представляемых на ежегодной научной конференции студентов ОГУ: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 Легенда о гамельнском крысолове: реминисценции в мировой литературе;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2 Интертекстуальные связи романа Ф. Кафки «Процесс»;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3 Концепты «жизнь» и «смерть» в произведениях Э.М. Ремарка;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4 Рецепция произведений Э.М. Ремарка в СССР и в современной России; 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5 «Русский поход» как важнейшая тема немецкой прозы о Второй мировой войне;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6 Болонский процесс в Германии в художественных образах (на примере «студенческого» романа А. Пент «А вот и Мишель!»);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 xml:space="preserve">7 Дуэль как элемент дворянской культуры </w:t>
      </w:r>
      <w:r w:rsidRPr="005E1284">
        <w:rPr>
          <w:rFonts w:ascii="Times New Roman" w:hAnsi="Times New Roman"/>
          <w:sz w:val="28"/>
          <w:szCs w:val="28"/>
          <w:lang w:val="de-DE"/>
        </w:rPr>
        <w:t>XIX</w:t>
      </w:r>
      <w:r w:rsidRPr="005E1284">
        <w:rPr>
          <w:rFonts w:ascii="Times New Roman" w:hAnsi="Times New Roman"/>
          <w:sz w:val="28"/>
          <w:szCs w:val="28"/>
        </w:rPr>
        <w:t xml:space="preserve"> века (на материале романа Т. Фонтане «Эффи Брист»);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8 Сопоставительный анализ лингвостилистических особенностей художественного изображения образа Девы Марии в поэтическом творчестве Р.М. Рильке и М.А. Кузмина;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9 Символика числительных в новеллах С. Цвейга;</w:t>
      </w:r>
    </w:p>
    <w:p w:rsidR="00E2305B" w:rsidRPr="005E1284" w:rsidRDefault="00E2305B" w:rsidP="005E1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84">
        <w:rPr>
          <w:rFonts w:ascii="Times New Roman" w:hAnsi="Times New Roman"/>
          <w:sz w:val="28"/>
          <w:szCs w:val="28"/>
        </w:rPr>
        <w:t>10 Образ художника в новелле Т. Манна «Тонио Крегер».</w:t>
      </w:r>
    </w:p>
    <w:p w:rsidR="00E2305B" w:rsidRPr="005E1284" w:rsidRDefault="00E2305B" w:rsidP="005E12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E1284">
        <w:rPr>
          <w:rFonts w:ascii="Times New Roman" w:hAnsi="Times New Roman"/>
          <w:b/>
          <w:sz w:val="28"/>
          <w:szCs w:val="28"/>
          <w:shd w:val="clear" w:color="auto" w:fill="FFFFFF"/>
        </w:rPr>
        <w:t>6 Методические рекомендации по подготовке мультимедийной презентации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E12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E128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E128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</w:t>
      </w:r>
      <w:r w:rsidRPr="005E128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E2305B" w:rsidRPr="005E1284" w:rsidRDefault="00E2305B" w:rsidP="005E1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E1284">
        <w:rPr>
          <w:rFonts w:ascii="Times New Roman" w:hAnsi="Times New Roman"/>
          <w:sz w:val="28"/>
          <w:szCs w:val="28"/>
          <w:shd w:val="clear" w:color="auto" w:fill="FFFFFF"/>
        </w:rPr>
        <w:t xml:space="preserve">Время выступления должно быть соотнесено с количеством слайдов из расчета, что компьютерная презентация, включающая 10-15 слайдов, требует для выступления около 7-10 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E2305B" w:rsidRDefault="00E2305B" w:rsidP="004E0E8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2305B" w:rsidRPr="004E0E8E" w:rsidRDefault="00E2305B" w:rsidP="004E0E8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4E0E8E">
        <w:rPr>
          <w:rFonts w:ascii="Times New Roman" w:hAnsi="Times New Roman"/>
          <w:b/>
          <w:bCs/>
          <w:sz w:val="28"/>
          <w:szCs w:val="28"/>
        </w:rPr>
        <w:t>6 Методические рекомендации по подготовке к промежуточно</w:t>
      </w:r>
      <w:r w:rsidR="001016E6">
        <w:rPr>
          <w:rFonts w:ascii="Times New Roman" w:hAnsi="Times New Roman"/>
          <w:b/>
          <w:bCs/>
          <w:sz w:val="28"/>
          <w:szCs w:val="28"/>
        </w:rPr>
        <w:t>й и итоговой аттестации (зачету</w:t>
      </w:r>
      <w:r w:rsidRPr="004E0E8E"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E2305B" w:rsidRPr="004E0E8E" w:rsidRDefault="00E2305B" w:rsidP="00CA2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E8E">
        <w:rPr>
          <w:rFonts w:ascii="Times New Roman" w:hAnsi="Times New Roman"/>
          <w:bCs/>
          <w:sz w:val="28"/>
          <w:szCs w:val="28"/>
        </w:rPr>
        <w:t xml:space="preserve">В рамках </w:t>
      </w:r>
      <w:r>
        <w:rPr>
          <w:rFonts w:ascii="Times New Roman" w:hAnsi="Times New Roman"/>
          <w:bCs/>
          <w:sz w:val="28"/>
          <w:szCs w:val="28"/>
        </w:rPr>
        <w:t>зачета студенты должны ответить на два теоретических вопроса и выполнить интерпретационный анализ художественного текста.</w:t>
      </w:r>
    </w:p>
    <w:p w:rsidR="00E2305B" w:rsidRPr="00CA262B" w:rsidRDefault="00E2305B" w:rsidP="00CA26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A262B">
        <w:rPr>
          <w:rFonts w:ascii="Times New Roman" w:hAnsi="Times New Roman"/>
          <w:sz w:val="28"/>
          <w:szCs w:val="28"/>
        </w:rPr>
        <w:t>Два задания представляют собой традиционные вопросы, связанные с материалом, пройденным в течение семестра. К ответу предъявляются те же требования, которые предъявлялись к подготовленному выступлению на семинарских занятиях. Единственным изменением является расширение диапазона оценивания высказывания экзаменуемого, что связано с многократным увеличением трудности освещения определённого аспекта дисциплины в ряду многих других тематических составляющих.</w:t>
      </w:r>
    </w:p>
    <w:p w:rsidR="00E2305B" w:rsidRDefault="00E2305B" w:rsidP="00CA262B">
      <w:pPr>
        <w:spacing w:after="0" w:line="240" w:lineRule="auto"/>
        <w:ind w:firstLine="709"/>
        <w:jc w:val="both"/>
        <w:rPr>
          <w:szCs w:val="24"/>
        </w:rPr>
      </w:pPr>
      <w:r w:rsidRPr="00CA262B">
        <w:rPr>
          <w:rFonts w:ascii="Times New Roman" w:hAnsi="Times New Roman"/>
          <w:color w:val="000000"/>
          <w:spacing w:val="-2"/>
          <w:sz w:val="28"/>
          <w:szCs w:val="28"/>
        </w:rPr>
        <w:t xml:space="preserve">Третье задание составляет интерпретационный анализ художественного текста. Студент демонстрирует умения понимания  </w:t>
      </w:r>
      <w:r w:rsidRPr="00CA262B">
        <w:rPr>
          <w:rFonts w:ascii="Times New Roman" w:hAnsi="Times New Roman"/>
          <w:color w:val="000000"/>
          <w:spacing w:val="1"/>
          <w:sz w:val="28"/>
          <w:szCs w:val="28"/>
        </w:rPr>
        <w:t xml:space="preserve">идейного содержания и художественного </w:t>
      </w:r>
      <w:r w:rsidRPr="00CA262B">
        <w:rPr>
          <w:rFonts w:ascii="Times New Roman" w:hAnsi="Times New Roman"/>
          <w:color w:val="000000"/>
          <w:spacing w:val="-3"/>
          <w:sz w:val="28"/>
          <w:szCs w:val="28"/>
        </w:rPr>
        <w:t>своеобразия</w:t>
      </w:r>
      <w:r w:rsidRPr="00CA262B">
        <w:rPr>
          <w:rFonts w:ascii="Times New Roman" w:hAnsi="Times New Roman"/>
          <w:color w:val="000000"/>
          <w:spacing w:val="-2"/>
          <w:sz w:val="28"/>
          <w:szCs w:val="28"/>
        </w:rPr>
        <w:t xml:space="preserve"> текста, а также уме</w:t>
      </w:r>
      <w:r w:rsidR="001016E6">
        <w:rPr>
          <w:rFonts w:ascii="Times New Roman" w:hAnsi="Times New Roman"/>
          <w:color w:val="000000"/>
          <w:spacing w:val="-2"/>
          <w:sz w:val="28"/>
          <w:szCs w:val="28"/>
        </w:rPr>
        <w:t>ния распознавания особенностей</w:t>
      </w:r>
      <w:r w:rsidRPr="00CA262B">
        <w:rPr>
          <w:rFonts w:ascii="Times New Roman" w:hAnsi="Times New Roman"/>
          <w:color w:val="000000"/>
          <w:spacing w:val="-2"/>
          <w:sz w:val="28"/>
          <w:szCs w:val="28"/>
        </w:rPr>
        <w:t xml:space="preserve"> индивидуального </w:t>
      </w:r>
      <w:r w:rsidRPr="00CA262B">
        <w:rPr>
          <w:rFonts w:ascii="Times New Roman" w:hAnsi="Times New Roman"/>
          <w:color w:val="000000"/>
          <w:sz w:val="28"/>
          <w:szCs w:val="28"/>
        </w:rPr>
        <w:t xml:space="preserve">стиля автора, авторского отношения к </w:t>
      </w:r>
      <w:r w:rsidRPr="00CA262B">
        <w:rPr>
          <w:rFonts w:ascii="Times New Roman" w:hAnsi="Times New Roman"/>
          <w:color w:val="000000"/>
          <w:spacing w:val="-3"/>
          <w:sz w:val="28"/>
          <w:szCs w:val="28"/>
        </w:rPr>
        <w:t>изображаемому</w:t>
      </w:r>
      <w:r>
        <w:rPr>
          <w:color w:val="000000"/>
          <w:spacing w:val="-3"/>
          <w:sz w:val="28"/>
          <w:szCs w:val="28"/>
        </w:rPr>
        <w:t>.</w:t>
      </w:r>
      <w:r w:rsidRPr="00CA262B">
        <w:rPr>
          <w:szCs w:val="24"/>
        </w:rPr>
        <w:t xml:space="preserve"> </w:t>
      </w:r>
    </w:p>
    <w:p w:rsidR="00E2305B" w:rsidRPr="00CA262B" w:rsidRDefault="00E2305B" w:rsidP="00CA2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</w:t>
      </w:r>
      <w:r w:rsidRPr="00CA262B">
        <w:rPr>
          <w:rFonts w:ascii="Times New Roman" w:hAnsi="Times New Roman"/>
          <w:sz w:val="28"/>
          <w:szCs w:val="28"/>
        </w:rPr>
        <w:t>бучающийся</w:t>
      </w:r>
      <w:r>
        <w:rPr>
          <w:rFonts w:ascii="Times New Roman" w:hAnsi="Times New Roman"/>
          <w:sz w:val="28"/>
          <w:szCs w:val="28"/>
        </w:rPr>
        <w:t xml:space="preserve"> получает </w:t>
      </w:r>
      <w:r w:rsidR="001016E6">
        <w:rPr>
          <w:rFonts w:ascii="Times New Roman" w:hAnsi="Times New Roman"/>
          <w:sz w:val="28"/>
          <w:szCs w:val="28"/>
        </w:rPr>
        <w:t>зачёт</w:t>
      </w:r>
      <w:r>
        <w:rPr>
          <w:rFonts w:ascii="Times New Roman" w:hAnsi="Times New Roman"/>
          <w:sz w:val="28"/>
          <w:szCs w:val="28"/>
        </w:rPr>
        <w:t>, если</w:t>
      </w:r>
      <w:r w:rsidRPr="00CA262B">
        <w:rPr>
          <w:rFonts w:ascii="Times New Roman" w:hAnsi="Times New Roman"/>
          <w:sz w:val="28"/>
          <w:szCs w:val="28"/>
        </w:rPr>
        <w:t xml:space="preserve"> показывает хорошие знания изученного учебного материала; самостоятельно, логично и последовательно излагает, и интерпретирует материалы учебного курса; полностью </w:t>
      </w:r>
      <w:r w:rsidRPr="00CA262B">
        <w:rPr>
          <w:rFonts w:ascii="Times New Roman" w:hAnsi="Times New Roman"/>
          <w:sz w:val="28"/>
          <w:szCs w:val="28"/>
        </w:rPr>
        <w:lastRenderedPageBreak/>
        <w:t>раскрывает смысл предлагаемого вопроса; владеет основными терминами и понятиями изученного курса; показывает умение переложить теоретические знания на предполагаемый практический опыт.</w:t>
      </w:r>
    </w:p>
    <w:sectPr w:rsidR="00E2305B" w:rsidRPr="00CA262B" w:rsidSect="00871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C82" w:rsidRDefault="00632C82" w:rsidP="005A331F">
      <w:pPr>
        <w:spacing w:after="0" w:line="240" w:lineRule="auto"/>
      </w:pPr>
      <w:r>
        <w:separator/>
      </w:r>
    </w:p>
  </w:endnote>
  <w:endnote w:type="continuationSeparator" w:id="1">
    <w:p w:rsidR="00632C82" w:rsidRDefault="00632C82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5B" w:rsidRDefault="00D044B1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E2305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2305B" w:rsidRDefault="00E2305B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5B" w:rsidRDefault="00D044B1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E2305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016E6">
      <w:rPr>
        <w:rStyle w:val="a3"/>
        <w:noProof/>
      </w:rPr>
      <w:t>14</w:t>
    </w:r>
    <w:r>
      <w:rPr>
        <w:rStyle w:val="a3"/>
      </w:rPr>
      <w:fldChar w:fldCharType="end"/>
    </w:r>
  </w:p>
  <w:p w:rsidR="00E2305B" w:rsidRDefault="00E2305B" w:rsidP="00871AF6">
    <w:pPr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5B" w:rsidRDefault="00E2305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C82" w:rsidRDefault="00632C82" w:rsidP="005A331F">
      <w:pPr>
        <w:spacing w:after="0" w:line="240" w:lineRule="auto"/>
      </w:pPr>
      <w:r>
        <w:separator/>
      </w:r>
    </w:p>
  </w:footnote>
  <w:footnote w:type="continuationSeparator" w:id="1">
    <w:p w:rsidR="00632C82" w:rsidRDefault="00632C82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5B" w:rsidRDefault="00E2305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5B" w:rsidRDefault="00E2305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5B" w:rsidRDefault="00E2305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022F9"/>
    <w:multiLevelType w:val="hybridMultilevel"/>
    <w:tmpl w:val="1BD062E8"/>
    <w:lvl w:ilvl="0" w:tplc="93F48C4E">
      <w:start w:val="1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9E92FE9"/>
    <w:multiLevelType w:val="hybridMultilevel"/>
    <w:tmpl w:val="C34E1D32"/>
    <w:lvl w:ilvl="0" w:tplc="1A50C276">
      <w:start w:val="4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BF5"/>
    <w:rsid w:val="00013B6C"/>
    <w:rsid w:val="00072BF5"/>
    <w:rsid w:val="00080BAD"/>
    <w:rsid w:val="000821E1"/>
    <w:rsid w:val="000A3B16"/>
    <w:rsid w:val="000A7CCE"/>
    <w:rsid w:val="001016E6"/>
    <w:rsid w:val="00151B82"/>
    <w:rsid w:val="001A26BD"/>
    <w:rsid w:val="002D6BD9"/>
    <w:rsid w:val="00341D21"/>
    <w:rsid w:val="00345418"/>
    <w:rsid w:val="003C2B40"/>
    <w:rsid w:val="004D786A"/>
    <w:rsid w:val="004E0E8E"/>
    <w:rsid w:val="00516C5B"/>
    <w:rsid w:val="005344CA"/>
    <w:rsid w:val="00590DE4"/>
    <w:rsid w:val="005A331F"/>
    <w:rsid w:val="005E1284"/>
    <w:rsid w:val="00632C82"/>
    <w:rsid w:val="006C222B"/>
    <w:rsid w:val="006E3F3D"/>
    <w:rsid w:val="0073503A"/>
    <w:rsid w:val="007661A4"/>
    <w:rsid w:val="007B4711"/>
    <w:rsid w:val="007D71AC"/>
    <w:rsid w:val="007E3319"/>
    <w:rsid w:val="00871AF6"/>
    <w:rsid w:val="008847D7"/>
    <w:rsid w:val="008D2B59"/>
    <w:rsid w:val="008D7EAA"/>
    <w:rsid w:val="00991012"/>
    <w:rsid w:val="00A448C4"/>
    <w:rsid w:val="00A46FD4"/>
    <w:rsid w:val="00A932AB"/>
    <w:rsid w:val="00AA26BD"/>
    <w:rsid w:val="00B00A3C"/>
    <w:rsid w:val="00B1750F"/>
    <w:rsid w:val="00B543FD"/>
    <w:rsid w:val="00BB695A"/>
    <w:rsid w:val="00C655FD"/>
    <w:rsid w:val="00CA262B"/>
    <w:rsid w:val="00CC3D67"/>
    <w:rsid w:val="00CD5215"/>
    <w:rsid w:val="00CF19F8"/>
    <w:rsid w:val="00D044B1"/>
    <w:rsid w:val="00D10DDD"/>
    <w:rsid w:val="00D96073"/>
    <w:rsid w:val="00E2305B"/>
    <w:rsid w:val="00E54974"/>
    <w:rsid w:val="00E96D1F"/>
    <w:rsid w:val="00EE7950"/>
    <w:rsid w:val="00F43261"/>
    <w:rsid w:val="00F43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a"/>
    <w:link w:val="ReportHead0"/>
    <w:rsid w:val="007E3319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basedOn w:val="a0"/>
    <w:link w:val="ReportHead"/>
    <w:locked/>
    <w:rsid w:val="007E3319"/>
    <w:rPr>
      <w:rFonts w:cs="Times New Roman"/>
      <w:sz w:val="22"/>
      <w:szCs w:val="22"/>
      <w:lang w:val="ru-RU" w:eastAsia="en-US" w:bidi="ar-SA"/>
    </w:rPr>
  </w:style>
  <w:style w:type="paragraph" w:styleId="a8">
    <w:name w:val="Normal (Web)"/>
    <w:basedOn w:val="a"/>
    <w:uiPriority w:val="99"/>
    <w:rsid w:val="005E1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uiPriority w:val="99"/>
    <w:rsid w:val="005E1284"/>
    <w:pPr>
      <w:spacing w:after="0" w:line="240" w:lineRule="auto"/>
    </w:pPr>
    <w:rPr>
      <w:rFonts w:eastAsia="Times New Roman"/>
      <w:sz w:val="24"/>
      <w:szCs w:val="20"/>
      <w:lang/>
    </w:rPr>
  </w:style>
  <w:style w:type="character" w:customStyle="1" w:styleId="ReportMain0">
    <w:name w:val="Report_Main Знак"/>
    <w:link w:val="ReportMain"/>
    <w:uiPriority w:val="99"/>
    <w:locked/>
    <w:rsid w:val="005E1284"/>
    <w:rPr>
      <w:rFonts w:eastAsia="Times New Roman"/>
      <w:sz w:val="24"/>
    </w:rPr>
  </w:style>
  <w:style w:type="character" w:styleId="a9">
    <w:name w:val="Strong"/>
    <w:basedOn w:val="a0"/>
    <w:uiPriority w:val="99"/>
    <w:qFormat/>
    <w:locked/>
    <w:rsid w:val="005E1284"/>
    <w:rPr>
      <w:rFonts w:cs="Times New Roman"/>
      <w:b/>
    </w:rPr>
  </w:style>
  <w:style w:type="character" w:styleId="aa">
    <w:name w:val="Hyperlink"/>
    <w:basedOn w:val="a0"/>
    <w:uiPriority w:val="99"/>
    <w:rsid w:val="005E12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view_red&amp;book_id=27594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rucont.ru/efd/292854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14</Pages>
  <Words>3666</Words>
  <Characters>20898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19</cp:revision>
  <cp:lastPrinted>2019-04-03T16:06:00Z</cp:lastPrinted>
  <dcterms:created xsi:type="dcterms:W3CDTF">2019-04-01T13:21:00Z</dcterms:created>
  <dcterms:modified xsi:type="dcterms:W3CDTF">2021-03-25T17:19:00Z</dcterms:modified>
</cp:coreProperties>
</file>