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right"/>
        <w:rPr>
          <w:rFonts w:ascii="TimesNewRomanPSMT" w:eastAsia="Times New Roman" w:hAnsi="TimesNewRomanPSMT" w:cs="TimesNewRomanPSMT"/>
          <w:b/>
          <w:i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b/>
          <w:i/>
          <w:szCs w:val="28"/>
          <w:lang w:eastAsia="ru-RU"/>
        </w:rPr>
        <w:t>На правах рукописи</w:t>
      </w:r>
    </w:p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proofErr w:type="spellStart"/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Минобрнауки</w:t>
      </w:r>
      <w:proofErr w:type="spellEnd"/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 xml:space="preserve"> Российской Федерации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Федеральное государственное бюджетное образовательное учреждение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высшего образования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b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b/>
          <w:szCs w:val="28"/>
          <w:lang w:eastAsia="ru-RU"/>
        </w:rPr>
        <w:t>«Оренбургский государственный университет»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 xml:space="preserve">Кафедра </w:t>
      </w:r>
      <w:r>
        <w:rPr>
          <w:rFonts w:ascii="TimesNewRomanPSMT" w:eastAsia="Times New Roman" w:hAnsi="TimesNewRomanPSMT" w:cs="TimesNewRomanPSMT"/>
          <w:szCs w:val="28"/>
          <w:lang w:eastAsia="ru-RU"/>
        </w:rPr>
        <w:t>маркетинга</w:t>
      </w:r>
      <w:r w:rsidR="003B330B">
        <w:rPr>
          <w:rFonts w:ascii="TimesNewRomanPSMT" w:eastAsia="Times New Roman" w:hAnsi="TimesNewRomanPSMT" w:cs="TimesNewRomanPSMT"/>
          <w:szCs w:val="28"/>
          <w:lang w:eastAsia="ru-RU"/>
        </w:rPr>
        <w:t xml:space="preserve"> и торгового дела</w:t>
      </w: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suppressAutoHyphens/>
        <w:spacing w:before="120"/>
        <w:jc w:val="center"/>
        <w:rPr>
          <w:rFonts w:ascii="TimesNewRomanPSMT" w:hAnsi="TimesNewRomanPSMT" w:cs="TimesNewRomanPSMT"/>
          <w:szCs w:val="28"/>
        </w:rPr>
      </w:pPr>
      <w:r w:rsidRPr="0045254E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45254E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45254E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A60EF" w:rsidRDefault="00083B20" w:rsidP="003A60EF">
      <w:pPr>
        <w:suppressAutoHyphens/>
        <w:jc w:val="center"/>
        <w:rPr>
          <w:rFonts w:cs="Times New Roman"/>
          <w:i/>
        </w:rPr>
      </w:pPr>
      <w:r w:rsidRPr="00083B20">
        <w:rPr>
          <w:rFonts w:cs="Times New Roman"/>
          <w:i/>
        </w:rPr>
        <w:t>«Маркетинг»</w:t>
      </w:r>
    </w:p>
    <w:p w:rsidR="00083B20" w:rsidRPr="0045254E" w:rsidRDefault="00083B20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Уровень высшего образования</w:t>
      </w: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БАКАЛАВРИАТ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Направление подготовки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38</w:t>
      </w:r>
      <w:r w:rsidRPr="0045254E">
        <w:rPr>
          <w:rFonts w:cs="Times New Roman"/>
          <w:i/>
          <w:sz w:val="24"/>
          <w:u w:val="single"/>
        </w:rPr>
        <w:t>.03.0</w:t>
      </w:r>
      <w:r w:rsidR="00083B20">
        <w:rPr>
          <w:rFonts w:cs="Times New Roman"/>
          <w:i/>
          <w:sz w:val="24"/>
          <w:u w:val="single"/>
        </w:rPr>
        <w:t>2</w:t>
      </w:r>
      <w:r w:rsidRPr="0045254E">
        <w:rPr>
          <w:rFonts w:cs="Times New Roman"/>
          <w:i/>
          <w:sz w:val="24"/>
          <w:u w:val="single"/>
        </w:rPr>
        <w:t xml:space="preserve"> </w:t>
      </w:r>
      <w:r w:rsidR="00083B20">
        <w:rPr>
          <w:rFonts w:cs="Times New Roman"/>
          <w:i/>
          <w:sz w:val="24"/>
          <w:u w:val="single"/>
        </w:rPr>
        <w:t>Менеджмент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>(код и наименование направления подготовки)</w:t>
      </w:r>
    </w:p>
    <w:p w:rsidR="00083B20" w:rsidRPr="0045254E" w:rsidRDefault="00854D76" w:rsidP="002D5585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>
        <w:rPr>
          <w:rFonts w:eastAsia="Calibri" w:cs="Times New Roman"/>
          <w:i/>
          <w:sz w:val="24"/>
          <w:u w:val="single"/>
        </w:rPr>
        <w:t>Менеджмент организации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A60EF" w:rsidRPr="0045254E" w:rsidRDefault="003A60EF" w:rsidP="003A60EF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Тип образовательной программы</w:t>
      </w:r>
    </w:p>
    <w:p w:rsidR="003A60EF" w:rsidRPr="0045254E" w:rsidRDefault="00083B20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 xml:space="preserve">Программа </w:t>
      </w:r>
      <w:proofErr w:type="gramStart"/>
      <w:r>
        <w:rPr>
          <w:rFonts w:cs="Times New Roman"/>
          <w:i/>
          <w:sz w:val="24"/>
          <w:u w:val="single"/>
        </w:rPr>
        <w:t>прикладного</w:t>
      </w:r>
      <w:proofErr w:type="gramEnd"/>
      <w:r w:rsidR="003A60EF" w:rsidRPr="0045254E">
        <w:rPr>
          <w:rFonts w:cs="Times New Roman"/>
          <w:i/>
          <w:sz w:val="24"/>
          <w:u w:val="single"/>
        </w:rPr>
        <w:t xml:space="preserve"> </w:t>
      </w:r>
      <w:proofErr w:type="spellStart"/>
      <w:r w:rsidR="003A60EF" w:rsidRPr="0045254E">
        <w:rPr>
          <w:rFonts w:cs="Times New Roman"/>
          <w:i/>
          <w:sz w:val="24"/>
          <w:u w:val="single"/>
        </w:rPr>
        <w:t>бакалавриата</w:t>
      </w:r>
      <w:proofErr w:type="spellEnd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Квалификация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 w:rsidRPr="0045254E">
        <w:rPr>
          <w:rFonts w:cs="Times New Roman"/>
          <w:i/>
          <w:sz w:val="24"/>
          <w:u w:val="single"/>
        </w:rPr>
        <w:t>Бакалавр</w:t>
      </w:r>
    </w:p>
    <w:p w:rsidR="003A60EF" w:rsidRPr="0045254E" w:rsidRDefault="003A60EF" w:rsidP="003A60EF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Форма обучения</w:t>
      </w:r>
    </w:p>
    <w:p w:rsidR="003A60EF" w:rsidRPr="0045254E" w:rsidRDefault="003443F9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О</w:t>
      </w:r>
      <w:r w:rsidR="003A60EF" w:rsidRPr="0045254E">
        <w:rPr>
          <w:rFonts w:cs="Times New Roman"/>
          <w:i/>
          <w:sz w:val="24"/>
          <w:u w:val="single"/>
        </w:rPr>
        <w:t>чная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854D76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cs="Times New Roman"/>
          <w:sz w:val="24"/>
        </w:rPr>
        <w:t>Год набора 2021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 xml:space="preserve">Н.В. </w:t>
      </w:r>
      <w:proofErr w:type="spellStart"/>
      <w:r>
        <w:rPr>
          <w:rFonts w:eastAsia="Calibri" w:cs="Times New Roman"/>
          <w:szCs w:val="28"/>
        </w:rPr>
        <w:t>Лужнова</w:t>
      </w:r>
      <w:proofErr w:type="spellEnd"/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3B330B">
        <w:rPr>
          <w:rFonts w:eastAsia="Calibri" w:cs="Times New Roman"/>
          <w:szCs w:val="28"/>
        </w:rPr>
        <w:t xml:space="preserve">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</w:t>
      </w:r>
      <w:r w:rsidR="002D5585">
        <w:rPr>
          <w:rFonts w:eastAsia="Calibri" w:cs="Times New Roman"/>
          <w:szCs w:val="28"/>
        </w:rPr>
        <w:t>ей</w:t>
      </w:r>
      <w:r w:rsidRPr="0045254E">
        <w:rPr>
          <w:rFonts w:eastAsia="Calibri" w:cs="Times New Roman"/>
          <w:szCs w:val="28"/>
        </w:rPr>
        <w:t xml:space="preserve"> программ</w:t>
      </w:r>
      <w:r w:rsidR="002D5585">
        <w:rPr>
          <w:rFonts w:eastAsia="Calibri" w:cs="Times New Roman"/>
          <w:szCs w:val="28"/>
        </w:rPr>
        <w:t>е</w:t>
      </w:r>
      <w:r w:rsidRPr="0045254E">
        <w:rPr>
          <w:rFonts w:eastAsia="Calibri" w:cs="Times New Roman"/>
          <w:szCs w:val="28"/>
        </w:rPr>
        <w:t xml:space="preserve"> по дисциплине </w:t>
      </w:r>
      <w:r>
        <w:rPr>
          <w:rFonts w:eastAsia="Calibri" w:cs="Times New Roman"/>
          <w:szCs w:val="28"/>
        </w:rPr>
        <w:t>«Маркетинг»</w:t>
      </w:r>
      <w:r w:rsidRPr="0045254E">
        <w:rPr>
          <w:rFonts w:eastAsia="Calibri" w:cs="Times New Roman"/>
          <w:szCs w:val="28"/>
        </w:rPr>
        <w:t>, зарегистрированн</w:t>
      </w:r>
      <w:r w:rsidR="002D5585">
        <w:rPr>
          <w:rFonts w:eastAsia="Calibri" w:cs="Times New Roman"/>
          <w:szCs w:val="28"/>
        </w:rPr>
        <w:t>ой</w:t>
      </w:r>
      <w:r w:rsidRPr="0045254E">
        <w:rPr>
          <w:rFonts w:eastAsia="Calibri" w:cs="Times New Roman"/>
          <w:szCs w:val="28"/>
        </w:rPr>
        <w:t xml:space="preserve"> в ЦИТ под учетным номер</w:t>
      </w:r>
      <w:r w:rsidR="002D5585">
        <w:rPr>
          <w:rFonts w:eastAsia="Calibri" w:cs="Times New Roman"/>
          <w:szCs w:val="28"/>
        </w:rPr>
        <w:t>ом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3A60EF" w:rsidRDefault="003A60EF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5238" w:history="1">
            <w:r w:rsidRPr="00F21976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39" w:history="1">
            <w:r w:rsidR="003A60EF" w:rsidRPr="00F21976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_Toc4595239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0" w:history="1">
            <w:r w:rsidR="003A60EF" w:rsidRPr="00F21976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_Toc4595240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1" w:history="1">
            <w:r w:rsidR="003A60EF" w:rsidRPr="00F21976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_Toc4595241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2" w:history="1">
            <w:r w:rsidR="003A60EF" w:rsidRPr="00F21976">
              <w:rPr>
                <w:rStyle w:val="a4"/>
                <w:noProof/>
              </w:rPr>
              <w:t>1.4 Рекомендации по выполнению реферата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_Toc4595242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6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3" w:history="1">
            <w:r w:rsidR="003A60EF" w:rsidRPr="00F21976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_Toc4595243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8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4" w:history="1">
            <w:r w:rsidR="003A60EF" w:rsidRPr="00F21976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_Toc4595244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9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5" w:history="1">
            <w:r w:rsidR="003A60EF" w:rsidRPr="00F21976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_Toc4595245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9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6" w:history="1">
            <w:r w:rsidR="003A60EF" w:rsidRPr="00F21976">
              <w:rPr>
                <w:rStyle w:val="a4"/>
                <w:noProof/>
              </w:rPr>
              <w:t xml:space="preserve">2.2 Рекомендации преподавателю по проведению практических </w:t>
            </w:r>
            <w:r w:rsidR="003A60EF">
              <w:rPr>
                <w:rStyle w:val="a4"/>
                <w:noProof/>
              </w:rPr>
              <w:t xml:space="preserve">   </w:t>
            </w:r>
            <w:r w:rsidR="003A60EF" w:rsidRPr="00F21976">
              <w:rPr>
                <w:rStyle w:val="a4"/>
                <w:noProof/>
              </w:rPr>
              <w:t>занятий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_Toc4595246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10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7" w:history="1">
            <w:r w:rsidR="003A60EF" w:rsidRPr="00F21976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_Toc4595247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11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8" w:history="1">
            <w:r w:rsidR="003A60EF" w:rsidRPr="00F21976">
              <w:rPr>
                <w:rStyle w:val="a4"/>
                <w:noProof/>
              </w:rPr>
              <w:t>2.4 Рекомендации преподавателю по проведению экзамена как формы контроля знаний студентов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_Toc4595248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11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9" w:history="1">
            <w:r w:rsidR="003A60EF" w:rsidRPr="00F21976">
              <w:rPr>
                <w:rStyle w:val="a4"/>
                <w:noProof/>
              </w:rPr>
              <w:t>3 Рекомендуемая литература к изучению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_Toc4595249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0" w:history="1">
            <w:r w:rsidR="003A60EF" w:rsidRPr="00F21976">
              <w:rPr>
                <w:rStyle w:val="a4"/>
                <w:noProof/>
              </w:rPr>
              <w:t>3.1 Основная литература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_Toc4595250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1" w:history="1">
            <w:r w:rsidR="003A60EF" w:rsidRPr="00F21976">
              <w:rPr>
                <w:rStyle w:val="a4"/>
                <w:noProof/>
              </w:rPr>
              <w:t>3.2 Дополнительная литература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_Toc4595251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2" w:history="1">
            <w:r w:rsidR="003A60EF" w:rsidRPr="00F21976">
              <w:rPr>
                <w:rStyle w:val="a4"/>
                <w:noProof/>
              </w:rPr>
              <w:t>3.3 Периодические издания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_Toc4595252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13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667B49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3" w:history="1">
            <w:r w:rsidR="003A60EF" w:rsidRPr="00F21976">
              <w:rPr>
                <w:rStyle w:val="a4"/>
                <w:noProof/>
              </w:rPr>
              <w:t>3.4 Интернет-ресурсы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_Toc4595253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Start w:id="1" w:name="_GoBack"/>
      <w:bookmarkEnd w:id="1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1.2 </w:t>
      </w:r>
      <w:r w:rsidRPr="007C7B47">
        <w:t xml:space="preserve">Рекомендации по работе студентов с конспектом лекций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 xml:space="preserve">работы студентов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2" w:name="_Toc512340196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2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</w:p>
    <w:p w:rsidR="004B6E5F" w:rsidRPr="004B6E5F" w:rsidRDefault="004B6E5F" w:rsidP="004B6E5F">
      <w:pPr>
        <w:rPr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Индивидуальное или групповое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творческое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конкретная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индивидуальным или групповым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творческим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>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="004633DD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10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  <w:proofErr w:type="gramEnd"/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 xml:space="preserve">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  <w:proofErr w:type="gramEnd"/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теории маркетинга построено таким образом, чтобы сформировать целостное представление о маркетинге. Решаются две задачи. Первая – дать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обучающимся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понятие о необходимости знаний о целях, методах и объектах исследований для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7C7B47" w:rsidRPr="00421A18" w:rsidRDefault="007C7B47" w:rsidP="00421A18">
      <w:pPr>
        <w:pStyle w:val="1"/>
      </w:pPr>
      <w:r w:rsidRPr="00421A18">
        <w:t>2 Методические рекомендации преподавателям по дисциплине</w:t>
      </w:r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2.1 </w:t>
      </w:r>
      <w:r w:rsidR="00EF3922" w:rsidRPr="006C56B0">
        <w:t>Р</w:t>
      </w:r>
      <w:r w:rsidRPr="007C7B47">
        <w:t xml:space="preserve">екомендации преподавателю по подготовке и проведению лекций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определить при помощи методики тестирования уровень подготовленности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r w:rsidRPr="006C56B0">
        <w:t>2.2 Рекомендации преподавателю по проведению</w:t>
      </w:r>
      <w:r w:rsidRPr="007C7B47">
        <w:t xml:space="preserve"> практических занятий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</w:t>
      </w:r>
      <w:proofErr w:type="gramStart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Тестовые задания предназначены для усвоения основных положений общей теории маркетинга, для закрепления знаний, полученных в процессе лекционного  курса,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>о проведению экзамена как формы контроля знаний студентов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Преподавателю следует четко продумать организационное начало экзамена, а также обеспечить наличие и заполнение экзаменационной документации (ведомости, зачетных книжек присутствующих на экзаменах студентов).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На предэкзаменационной консультации студентов обязательно следует ознакомить с требованиями, предъявляемыми к периоду подготовки ответа     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Последние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могут быть сформулированы следующим образом: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lastRenderedPageBreak/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совсем  полный ответ, не в полной мере доказательный, но четкие ответы на дополнительные вопросы, культура речи;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Важно, чтобы преподаватель мог создать на экзамене 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r w:rsidRPr="00421A18">
        <w:t>3 Рекомендуемая литература к изучению</w:t>
      </w:r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3.1 Основная литература</w:t>
      </w:r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Г.Л. Маркетинг: учеб. для вузов / Г.Л.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В.М. Тарасевич.- 4-е изд.,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и доп. – СПб. : Питер, 2012. – 557 с. (Учебник для вузов.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Стандарт третьего поколения).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– ISBN 978-5-459-00812-8.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Гавриленко, Н.И.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Н.И. Гавриленко.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Берлин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ДиректМедиа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- 194 с. : ил., схем., табл.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в кн. - ISBN 978-5-4475-3635-0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То же [Электронный ресурс]. - ЭБС «Университетская библиотека «ОНЛАЙН». - Режим доступа: </w:t>
      </w:r>
      <w:hyperlink r:id="rId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http://biblioclub.ru/index.php?page=book&amp;id=273611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3. 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Ф. Маркетинг менеджмент =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Marketing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Management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[Текст] : учебник / Ф.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Келлер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.- 12-е изд. - СПб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 :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Питер, 2012, 2015. - 814 с. - (Классический зарубежный учебник).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Парал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л. англ.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.: с. 794-799. - Указ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с. 800-814. - ISBN 978-5-459-00841-8.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Минько, Э.В.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Э.В. Минько, Н.В. Карпова. - М.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ЮнитиДана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- 351 с. : табл., граф., схемы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в кн. - ISBN 978-5-238-01223-0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То же [Электронный ресурс]. - ЭБС «Университетская библиотека «ОНЛАЙН». - Режим доступа: </w:t>
      </w:r>
      <w:hyperlink r:id="rId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http://biblioclub.ru/index.php?page=book&amp;id=114714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5. Соловьев, Б. А. Маркетинг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для студентов высших учебных заведений, обучающихся по направлению "Экономика" и экономическим специальностям / Б. А. Соловьев, А. А. Мешков, Б. В.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Мусатов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ИНФРА-М, 2013. - 336 с. - (Высшее образование.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Бакалавриат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).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- Глоссарий: с. 322-334.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335. - ISBN 978-5-16003647-2. 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3.2 Дополнительная литература</w:t>
      </w:r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1. Герасимов, Б. И. Маркетинговые исследования рынка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Б. И. Герасимов, Н. Н. Мозгов. - 2-e изд. - М.: Форум: НИЦ ИНФРА-М, 2014. - 336 с. : ил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.;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60x90 1/16. - (Профессиональное образование)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о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бложка) ISBN 978-5-91134811-3. –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http://znanium.com/bookread2.php?book=418464.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Гришина, В. Т.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Практикум / В. Т. Гришина.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Вузовский учебник : НИЦ ИНФРА-М, 2014. - 58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60x88 1/16. (обложка) ISBN 978-5-9558-0348-7. -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http://znanium.com/catalog.php?bookinfo=436043.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3. Каменева, Н. Г.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Н. Г. Каменева, В. А. Поляков. - 2-e изд., доп.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Вузовский учебник : НИЦ </w:t>
      </w:r>
      <w:r w:rsidRPr="006C56B0">
        <w:rPr>
          <w:rFonts w:eastAsia="Times New Roman" w:cs="Times New Roman"/>
          <w:sz w:val="24"/>
          <w:szCs w:val="24"/>
          <w:lang w:eastAsia="ru-RU"/>
        </w:rPr>
        <w:lastRenderedPageBreak/>
        <w:t>Инфра-М, 2013. - 368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60x90 1/16. (переплет) ISBN 978-5-9558-0233-6 –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http://znanium.com/bookread2.php?book=351385.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Ковалевский, В. П.  Маркетинговые исследования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для студентов / В. П. Ковалевский, О. М.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Калиева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О. П. Михайлова; М-во образования и науки Рос. Федерации,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Федер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гос. бюджет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о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бразоват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высш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проф. образования "Оренбург. гос. ун-т". - Оренбург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Университет, 2013. - 174 с.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174. - ISBN 978-5-4417-0173-0.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Г. И. Методическое обеспечение маркетинговых исследований новых продуктов [Электронный ресурс] : монография / В. А. Хворостов, Г. И.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— Новосибирск : Изд-во НГТУ, 2014 . - 175 с. — ISBN 978-5-7782-2421-6. – ЭБС «РУКОНТ». - Режим доступа: http://rucont.ru/efd/246640.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6. Маркетинг в информационном обществе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под ред. Н. Н. Молчанова;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С.Петерб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гос. ун-т. - Москва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РГ-Пресс, 2013. - 408 с. : ил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.,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табл.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.: с. 407-408. - ISBN 978-5-9988-0160-0. \7. Маркетинг для студентов вузов [Текст] : учеб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особие / под общ. ред. С. В. Карповой. - Ростов-на-Дону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Феникс, 2011. - 222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- (Шпаргалки). - Прил.: с. 216-221. - ISBN 978-5222-18151-5.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8. Токарев, Б. Е.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Б. Е. Токарев. - 2-e изд.,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и доп. - М. : Магистр : НИЦ Инфра-М, 2013. - 512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60x90 1/16. (переплет) ISBN 978-5-9776-0175-7 -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- Режим доступа: http://znanium.com/bookread2.php?book=392041. </w:t>
      </w:r>
    </w:p>
    <w:p w:rsidR="006C56B0" w:rsidRDefault="006C56B0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3.3 Периодические издания</w:t>
      </w:r>
    </w:p>
    <w:p w:rsid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1996. - № 1-6, 1997. - № 1-6, 1998. - № 1-6, 1999. - № 1-3, 5-6, 2003. - № 1-6, 2004. - № 1-6, 2005. - № 1-6, 2007. - № 1-6, 2009. - № 1-6, 2010. - № 1-2,4-6,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2012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2013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2014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2015</w:t>
      </w:r>
      <w:r w:rsidRPr="006C56B0">
        <w:rPr>
          <w:rFonts w:eastAsia="Times New Roman" w:cs="Times New Roman"/>
          <w:sz w:val="24"/>
          <w:szCs w:val="24"/>
          <w:lang w:eastAsia="ru-RU"/>
        </w:rPr>
        <w:t>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Маркетинг PRO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 2006.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3. Маркетинг в России и за рубежом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2002. - № 1-6, 2003. - № 1-6, 2004. - № 1-6, 2006. - № 1-6, 2007. - № 1-6, 2008. - № 1-6, 2009. - № 1-6, 2010. - № 1-6, 2010. - № 1-2,4-5, 2012. - № 1-6, 2013.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Маркетинг и маркетинговые исследования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2001. - № 1-6, 2002. - № 1-6, 2004. - № 1-6, 2005. - № 1-6, 2006. - № 1-6, 2007. - № 1-6, 2008. - № 1-6, 2009. - № 1-2,4-6, 2010. - № 1-6, 2012. - № 4-6, 2013. - № 2-6,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5. Маркетинговые коммуникации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1-6, 2009. - № 1-6, 2010. - № 1-6, 2013.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6. Маркетолог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1-12, 2009. - № 1-12, 2010. - № 1-5,7, 2014. - № 2,9.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Мерчендайзер</w:t>
      </w:r>
      <w:proofErr w:type="spellEnd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8. Новости маркетинга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9. Новости рекламы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1-24, 2013. - № 1-23, 2014. - № 1-20 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10. Практика рекламы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1-12, 2009. - № 1-12, 2013. - № 1-11, 2014. - № 1-10.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11. Практический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1-12, 2009. - № 1,,7-12, 2010. - № 1-3,7-10,12.. - 2012. - № 1-11.. - 2014. - № 1-11.. - 2015. - № 1-9.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12. Региональная реклама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2002. - № 4-6.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13. Реклама. Теория и практика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14. Рекламные идеи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1-6, 2009. - № 1-6.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lastRenderedPageBreak/>
        <w:t>15. Рекламодатель: теория и практика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1-12, 2009. - № 1-4,7-12, 2013. - № 1-9, 2014. - № 1-10, 2015. - № 1-2.</w:t>
      </w:r>
    </w:p>
    <w:p w:rsidR="006C56B0" w:rsidRDefault="006C56B0" w:rsidP="00421A18">
      <w:pPr>
        <w:rPr>
          <w:lang w:eastAsia="ru-RU"/>
        </w:rPr>
      </w:pP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3.4 Интернет-ресурсы</w:t>
      </w:r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Журнал о рекламе «</w:t>
      </w:r>
      <w:proofErr w:type="spellStart"/>
      <w:r w:rsidRPr="006C56B0">
        <w:rPr>
          <w:rFonts w:eastAsia="Times New Roman" w:cs="Times New Roman"/>
          <w:sz w:val="24"/>
          <w:szCs w:val="24"/>
          <w:lang w:val="en-US" w:eastAsia="ru-RU"/>
        </w:rPr>
        <w:t>AdAge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(США) [Электронный ресурс]. Режим доступа </w:t>
      </w:r>
      <w:hyperlink r:id="rId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adage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«Рекламные технологии» [Электронный ресурс]. Режим доступа </w:t>
      </w:r>
      <w:hyperlink r:id="rId9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rectech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journal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«Индустрия рекламы» [Электронный ресурс]. Режим доступа </w:t>
      </w:r>
      <w:hyperlink r:id="rId10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ir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magazine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Альманах «Лаборатория рекламы, маркетинга и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public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relations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1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lab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advertology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о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директ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-маркетинге «Маркетинг 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PRO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2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marketingpro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«Маркетолог» [Электронный ресурс]. Режим доступа </w:t>
      </w:r>
      <w:hyperlink r:id="rId13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marketolog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о маркетинге и рекламе «Новый маркетинг» (Украина) [Электронный ресурс]. Режим доступа </w:t>
      </w:r>
      <w:hyperlink r:id="rId14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marketing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web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standart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net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Журнал «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PR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в России» [Электронный ресурс]. Режим доступа </w:t>
      </w:r>
      <w:hyperlink r:id="rId15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rupr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 «Реклама </w:t>
      </w:r>
      <w:proofErr w:type="spellStart"/>
      <w:r w:rsidRPr="006C56B0">
        <w:rPr>
          <w:rFonts w:eastAsia="Times New Roman" w:cs="Times New Roman"/>
          <w:sz w:val="24"/>
          <w:szCs w:val="24"/>
          <w:lang w:val="en-US" w:eastAsia="ru-RU"/>
        </w:rPr>
        <w:t>OutdoorMedia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outdoormedia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«Рекламные идеи» [Электронный ресурс]. Режим доступа </w:t>
      </w:r>
      <w:hyperlink r:id="rId1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advi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«Рекламодатель. Теория и практика» [Электронный ресурс]. Режим доступа </w:t>
      </w:r>
      <w:hyperlink r:id="rId1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reklamodatel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Сайт о менеджменте и управлении персоналом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19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menedzhment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6C56B0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Электронная версия журнала «Маркетинг и маркетинговые исследования» 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0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marketingandresearch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Интернет-проект «Энциклопедия маркетинга»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1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spb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Российский Интернет-журнал о </w:t>
      </w:r>
      <w:proofErr w:type="gramStart"/>
      <w:r w:rsidRPr="006C56B0">
        <w:rPr>
          <w:rFonts w:eastAsia="Times New Roman" w:cs="Times New Roman"/>
          <w:bCs/>
          <w:sz w:val="24"/>
          <w:szCs w:val="24"/>
          <w:lang w:eastAsia="ru-RU"/>
        </w:rPr>
        <w:t>творческом</w:t>
      </w:r>
      <w:proofErr w:type="gramEnd"/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bCs/>
          <w:sz w:val="24"/>
          <w:szCs w:val="24"/>
          <w:lang w:eastAsia="ru-RU"/>
        </w:rPr>
        <w:t>брендинге</w:t>
      </w:r>
      <w:proofErr w:type="spellEnd"/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2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advi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Сайт экспертной системы ТРИЗ-Шанс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3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triz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-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chance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Электронный журнал по маркетингу «4p» [Электронный ресурс]. Режим доступа </w:t>
      </w:r>
      <w:hyperlink r:id="rId24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.4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 и продвижении [Электронный ресурс]. Режим доступа </w:t>
      </w:r>
      <w:hyperlink r:id="rId25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propel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рекламе, маркетинге и PR [Электронный ресурс]. Режим доступа </w:t>
      </w:r>
      <w:hyperlink r:id="rId2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sostav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Еженедельный журнал о рекламе «ADWEE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K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2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adweek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Информационно-аналитический портал о рынке рекламы, СМИ и маркетинге [Электронный ресурс]. Режим доступа </w:t>
      </w:r>
      <w:hyperlink r:id="rId2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admarket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Информационно-аналитический портал о рекламе, маркетинге, PR [Электронный ресурс]. Режим доступа </w:t>
      </w:r>
      <w:hyperlink r:id="rId29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advertology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Информационный ликбез «Практика рекламы» [Электронный ресурс]. Режим доступа </w:t>
      </w:r>
      <w:hyperlink r:id="rId30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advertime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EF3922" w:rsidRPr="006C56B0" w:rsidRDefault="006C56B0" w:rsidP="004B6E5F">
      <w:pPr>
        <w:ind w:firstLine="709"/>
        <w:rPr>
          <w:sz w:val="24"/>
          <w:szCs w:val="24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 [Электронный ресурс]. Режим доступа </w:t>
      </w:r>
      <w:hyperlink r:id="rId31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adme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3706E"/>
    <w:rsid w:val="00083B20"/>
    <w:rsid w:val="001854CD"/>
    <w:rsid w:val="001C6A87"/>
    <w:rsid w:val="001D55F9"/>
    <w:rsid w:val="001F2EBE"/>
    <w:rsid w:val="002A1E59"/>
    <w:rsid w:val="002D5585"/>
    <w:rsid w:val="003443F9"/>
    <w:rsid w:val="003A60EF"/>
    <w:rsid w:val="003B330B"/>
    <w:rsid w:val="003F0AE2"/>
    <w:rsid w:val="00421A18"/>
    <w:rsid w:val="004633DD"/>
    <w:rsid w:val="00481A44"/>
    <w:rsid w:val="004B6E5F"/>
    <w:rsid w:val="004D492F"/>
    <w:rsid w:val="00667B49"/>
    <w:rsid w:val="006C56B0"/>
    <w:rsid w:val="006F43F2"/>
    <w:rsid w:val="007679C1"/>
    <w:rsid w:val="007A6E10"/>
    <w:rsid w:val="007C7B47"/>
    <w:rsid w:val="007E2A17"/>
    <w:rsid w:val="00854D76"/>
    <w:rsid w:val="00860382"/>
    <w:rsid w:val="00864F04"/>
    <w:rsid w:val="008B7029"/>
    <w:rsid w:val="008D3421"/>
    <w:rsid w:val="00965EC0"/>
    <w:rsid w:val="00A64A14"/>
    <w:rsid w:val="00C11388"/>
    <w:rsid w:val="00D321C4"/>
    <w:rsid w:val="00D4621F"/>
    <w:rsid w:val="00DB3B43"/>
    <w:rsid w:val="00E46CAC"/>
    <w:rsid w:val="00E63ACE"/>
    <w:rsid w:val="00E866BB"/>
    <w:rsid w:val="00EF3922"/>
    <w:rsid w:val="00F173BE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rketolog.ru" TargetMode="External"/><Relationship Id="rId18" Type="http://schemas.openxmlformats.org/officeDocument/2006/relationships/hyperlink" Target="http://www.reklamodatel.ru" TargetMode="External"/><Relationship Id="rId26" Type="http://schemas.openxmlformats.org/officeDocument/2006/relationships/hyperlink" Target="http://www.sosta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rketing.spb.ru" TargetMode="External"/><Relationship Id="rId7" Type="http://schemas.openxmlformats.org/officeDocument/2006/relationships/hyperlink" Target="http://biblioclub.ru/index.php?page=book&amp;id=114714" TargetMode="External"/><Relationship Id="rId12" Type="http://schemas.openxmlformats.org/officeDocument/2006/relationships/hyperlink" Target="http://marketingpro.ru" TargetMode="External"/><Relationship Id="rId17" Type="http://schemas.openxmlformats.org/officeDocument/2006/relationships/hyperlink" Target="http://www.advi.ru" TargetMode="External"/><Relationship Id="rId25" Type="http://schemas.openxmlformats.org/officeDocument/2006/relationships/hyperlink" Target="http://propel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utdoormedia.ru" TargetMode="External"/><Relationship Id="rId20" Type="http://schemas.openxmlformats.org/officeDocument/2006/relationships/hyperlink" Target="http://www.marketingandresearch.ru" TargetMode="External"/><Relationship Id="rId29" Type="http://schemas.openxmlformats.org/officeDocument/2006/relationships/hyperlink" Target="http://www.advertolog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73611" TargetMode="External"/><Relationship Id="rId11" Type="http://schemas.openxmlformats.org/officeDocument/2006/relationships/hyperlink" Target="http://lab.advertology.ru" TargetMode="External"/><Relationship Id="rId24" Type="http://schemas.openxmlformats.org/officeDocument/2006/relationships/hyperlink" Target="http://www.4p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pr.ru" TargetMode="External"/><Relationship Id="rId23" Type="http://schemas.openxmlformats.org/officeDocument/2006/relationships/hyperlink" Target="http://www.triz-chance.ru" TargetMode="External"/><Relationship Id="rId28" Type="http://schemas.openxmlformats.org/officeDocument/2006/relationships/hyperlink" Target="http://www.admarket.ru" TargetMode="External"/><Relationship Id="rId10" Type="http://schemas.openxmlformats.org/officeDocument/2006/relationships/hyperlink" Target="http://www.ir-magazine.ru" TargetMode="External"/><Relationship Id="rId19" Type="http://schemas.openxmlformats.org/officeDocument/2006/relationships/hyperlink" Target="http://www.menedzhment.org" TargetMode="External"/><Relationship Id="rId31" Type="http://schemas.openxmlformats.org/officeDocument/2006/relationships/hyperlink" Target="http://www.adm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ctech.ru/journal" TargetMode="External"/><Relationship Id="rId14" Type="http://schemas.openxmlformats.org/officeDocument/2006/relationships/hyperlink" Target="http://marketing.web-standart.net" TargetMode="External"/><Relationship Id="rId22" Type="http://schemas.openxmlformats.org/officeDocument/2006/relationships/hyperlink" Target="http://www.advi.ru" TargetMode="External"/><Relationship Id="rId27" Type="http://schemas.openxmlformats.org/officeDocument/2006/relationships/hyperlink" Target="http://www.adweek.com" TargetMode="External"/><Relationship Id="rId30" Type="http://schemas.openxmlformats.org/officeDocument/2006/relationships/hyperlink" Target="http://www.advertime.ru" TargetMode="External"/><Relationship Id="rId8" Type="http://schemas.openxmlformats.org/officeDocument/2006/relationships/hyperlink" Target="http://adag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5752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2021-03-29T18:16:00Z</dcterms:created>
  <dcterms:modified xsi:type="dcterms:W3CDTF">2021-03-29T18:16:00Z</dcterms:modified>
</cp:coreProperties>
</file>