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312BDB" w:rsidRDefault="00312BDB" w:rsidP="00312BDB">
      <w:pPr>
        <w:pStyle w:val="ReportHead"/>
        <w:suppressAutoHyphens/>
        <w:spacing w:line="360" w:lineRule="auto"/>
        <w:rPr>
          <w:sz w:val="24"/>
        </w:rPr>
      </w:pPr>
      <w:r>
        <w:rPr>
          <w:sz w:val="24"/>
        </w:rPr>
        <w:t>Уровень высшего образования</w:t>
      </w:r>
    </w:p>
    <w:p w:rsidR="00312BDB" w:rsidRDefault="00312BDB" w:rsidP="00312BDB">
      <w:pPr>
        <w:pStyle w:val="ReportHead"/>
        <w:suppressAutoHyphens/>
        <w:spacing w:line="360" w:lineRule="auto"/>
        <w:rPr>
          <w:sz w:val="24"/>
        </w:rPr>
      </w:pPr>
      <w:r>
        <w:rPr>
          <w:sz w:val="24"/>
        </w:rPr>
        <w:t>БАКАЛАВРИАТ</w:t>
      </w:r>
    </w:p>
    <w:p w:rsidR="00EF513F" w:rsidRDefault="00EF513F" w:rsidP="00EF513F">
      <w:pPr>
        <w:pStyle w:val="ReportHead"/>
        <w:suppressAutoHyphens/>
        <w:rPr>
          <w:sz w:val="24"/>
        </w:rPr>
      </w:pPr>
      <w:r>
        <w:rPr>
          <w:sz w:val="24"/>
        </w:rPr>
        <w:t>Направление подготовки</w:t>
      </w:r>
    </w:p>
    <w:p w:rsidR="00EF513F" w:rsidRDefault="00EF513F" w:rsidP="00EF513F">
      <w:pPr>
        <w:pStyle w:val="ReportHead"/>
        <w:suppressAutoHyphens/>
        <w:rPr>
          <w:i/>
          <w:sz w:val="24"/>
          <w:u w:val="single"/>
        </w:rPr>
      </w:pPr>
      <w:r>
        <w:rPr>
          <w:i/>
          <w:sz w:val="24"/>
          <w:u w:val="single"/>
        </w:rPr>
        <w:t>15.03.02 Технологические машины и оборудование</w:t>
      </w:r>
    </w:p>
    <w:p w:rsidR="00EF513F" w:rsidRDefault="00EF513F" w:rsidP="00EF513F">
      <w:pPr>
        <w:pStyle w:val="ReportHead"/>
        <w:suppressAutoHyphens/>
        <w:rPr>
          <w:sz w:val="24"/>
          <w:vertAlign w:val="superscript"/>
        </w:rPr>
      </w:pPr>
      <w:r>
        <w:rPr>
          <w:sz w:val="24"/>
          <w:vertAlign w:val="superscript"/>
        </w:rPr>
        <w:t>(код и наименование направления подготовки)</w:t>
      </w:r>
    </w:p>
    <w:p w:rsidR="00EF513F" w:rsidRDefault="00EF513F" w:rsidP="00EF513F">
      <w:pPr>
        <w:pStyle w:val="ReportHead"/>
        <w:suppressAutoHyphens/>
        <w:rPr>
          <w:i/>
          <w:sz w:val="24"/>
          <w:u w:val="single"/>
        </w:rPr>
      </w:pPr>
      <w:r>
        <w:rPr>
          <w:i/>
          <w:sz w:val="24"/>
          <w:u w:val="single"/>
        </w:rPr>
        <w:t>Машины и аппараты пищевых производств</w:t>
      </w:r>
    </w:p>
    <w:p w:rsidR="00EF513F" w:rsidRDefault="00EF513F" w:rsidP="00EF513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F513F" w:rsidRDefault="00EF513F" w:rsidP="00EF513F">
      <w:pPr>
        <w:pStyle w:val="ReportHead"/>
        <w:suppressAutoHyphens/>
        <w:spacing w:before="120"/>
        <w:rPr>
          <w:sz w:val="24"/>
        </w:rPr>
      </w:pPr>
      <w:r>
        <w:rPr>
          <w:sz w:val="24"/>
        </w:rPr>
        <w:t>Тип образовательной программы</w:t>
      </w:r>
    </w:p>
    <w:p w:rsidR="00EF513F" w:rsidRDefault="00EF513F" w:rsidP="00EF513F">
      <w:pPr>
        <w:pStyle w:val="ReportHead"/>
        <w:suppressAutoHyphens/>
        <w:rPr>
          <w:i/>
          <w:sz w:val="24"/>
          <w:u w:val="single"/>
        </w:rPr>
      </w:pPr>
      <w:r>
        <w:rPr>
          <w:i/>
          <w:sz w:val="24"/>
          <w:u w:val="single"/>
        </w:rPr>
        <w:t>Программа академического бакалавриата</w:t>
      </w:r>
    </w:p>
    <w:p w:rsidR="00EF513F" w:rsidRDefault="00EF513F" w:rsidP="00EF513F">
      <w:pPr>
        <w:pStyle w:val="ReportHead"/>
        <w:suppressAutoHyphens/>
        <w:rPr>
          <w:sz w:val="24"/>
        </w:rPr>
      </w:pPr>
    </w:p>
    <w:p w:rsidR="00EF513F" w:rsidRDefault="00EF513F" w:rsidP="00EF513F">
      <w:pPr>
        <w:pStyle w:val="ReportHead"/>
        <w:suppressAutoHyphens/>
        <w:rPr>
          <w:sz w:val="24"/>
        </w:rPr>
      </w:pPr>
      <w:r>
        <w:rPr>
          <w:sz w:val="24"/>
        </w:rPr>
        <w:t>Квалификация</w:t>
      </w:r>
    </w:p>
    <w:p w:rsidR="00EF513F" w:rsidRDefault="00EF513F" w:rsidP="00EF513F">
      <w:pPr>
        <w:pStyle w:val="ReportHead"/>
        <w:suppressAutoHyphens/>
        <w:rPr>
          <w:i/>
          <w:sz w:val="24"/>
          <w:u w:val="single"/>
        </w:rPr>
      </w:pPr>
      <w:r>
        <w:rPr>
          <w:i/>
          <w:sz w:val="24"/>
          <w:u w:val="single"/>
        </w:rPr>
        <w:t>Бакалавр</w:t>
      </w:r>
    </w:p>
    <w:p w:rsidR="00EF513F" w:rsidRDefault="00EF513F" w:rsidP="00EF513F">
      <w:pPr>
        <w:pStyle w:val="ReportHead"/>
        <w:suppressAutoHyphens/>
        <w:spacing w:before="120"/>
        <w:rPr>
          <w:sz w:val="24"/>
        </w:rPr>
      </w:pPr>
      <w:r>
        <w:rPr>
          <w:sz w:val="24"/>
        </w:rPr>
        <w:t>Форма обучения</w:t>
      </w:r>
    </w:p>
    <w:p w:rsidR="00EF513F" w:rsidRDefault="00EF513F" w:rsidP="00EF513F">
      <w:pPr>
        <w:pStyle w:val="ReportHead"/>
        <w:suppressAutoHyphens/>
        <w:rPr>
          <w:i/>
          <w:sz w:val="24"/>
          <w:u w:val="single"/>
        </w:rPr>
      </w:pPr>
      <w:r>
        <w:rPr>
          <w:i/>
          <w:sz w:val="24"/>
          <w:u w:val="single"/>
        </w:rPr>
        <w:t>Очная</w:t>
      </w:r>
    </w:p>
    <w:p w:rsidR="00EF513F" w:rsidRDefault="00EF513F" w:rsidP="00EF513F">
      <w:pPr>
        <w:pStyle w:val="ReportHead"/>
        <w:suppressAutoHyphens/>
        <w:rPr>
          <w:sz w:val="24"/>
        </w:rPr>
      </w:pPr>
    </w:p>
    <w:p w:rsidR="00D50D5B" w:rsidRDefault="00D50D5B" w:rsidP="00D50D5B">
      <w:pPr>
        <w:pStyle w:val="ReportHead"/>
        <w:suppressAutoHyphens/>
        <w:rPr>
          <w:sz w:val="24"/>
        </w:rPr>
      </w:pPr>
    </w:p>
    <w:p w:rsidR="00F074B7" w:rsidRDefault="00F074B7" w:rsidP="00F074B7">
      <w:pPr>
        <w:pStyle w:val="ReportHead"/>
        <w:suppressAutoHyphens/>
        <w:rPr>
          <w:sz w:val="24"/>
        </w:rPr>
      </w:pPr>
    </w:p>
    <w:p w:rsidR="00AD3BD3" w:rsidRPr="00F074B7" w:rsidRDefault="00AD3BD3" w:rsidP="00AD3BD3">
      <w:pPr>
        <w:suppressAutoHyphens/>
        <w:jc w:val="center"/>
        <w:rPr>
          <w:rFonts w:eastAsia="Calibri"/>
          <w:sz w:val="28"/>
          <w:szCs w:val="28"/>
          <w:lang w:val="x-none"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F074B7">
      <w:pPr>
        <w:suppressAutoHyphens/>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817EF0">
        <w:rPr>
          <w:rFonts w:eastAsia="Calibri"/>
          <w:sz w:val="28"/>
          <w:szCs w:val="28"/>
          <w:lang w:eastAsia="en-US"/>
        </w:rPr>
        <w:t>21</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F074B7">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proofErr w:type="gramStart"/>
      <w:r w:rsidRPr="00224B59">
        <w:rPr>
          <w:kern w:val="1"/>
          <w:sz w:val="28"/>
          <w:szCs w:val="28"/>
          <w:lang w:eastAsia="hi-IN" w:bidi="hi-IN"/>
        </w:rPr>
        <w:t>_»_</w:t>
      </w:r>
      <w:proofErr w:type="gramEnd"/>
      <w:r w:rsidRPr="00224B59">
        <w:rPr>
          <w:kern w:val="1"/>
          <w:sz w:val="28"/>
          <w:szCs w:val="28"/>
          <w:lang w:eastAsia="hi-IN" w:bidi="hi-IN"/>
        </w:rPr>
        <w:t>__</w:t>
      </w:r>
      <w:r w:rsidR="00817EF0">
        <w:rPr>
          <w:kern w:val="1"/>
          <w:sz w:val="28"/>
          <w:szCs w:val="28"/>
          <w:lang w:eastAsia="hi-IN" w:bidi="hi-IN"/>
        </w:rPr>
        <w:t>___________2021</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r w:rsidR="007E15FF">
        <w:rPr>
          <w:kern w:val="1"/>
          <w:sz w:val="28"/>
          <w:szCs w:val="28"/>
          <w:lang w:eastAsia="hi-IN" w:bidi="hi-IN"/>
        </w:rPr>
        <w:t>24</w:t>
      </w:r>
      <w:r w:rsidRPr="00224B59">
        <w:rPr>
          <w:kern w:val="1"/>
          <w:sz w:val="28"/>
          <w:szCs w:val="28"/>
          <w:lang w:eastAsia="hi-IN" w:bidi="hi-IN"/>
        </w:rPr>
        <w:t>__» ______</w:t>
      </w:r>
      <w:r w:rsidR="007E15FF">
        <w:rPr>
          <w:kern w:val="1"/>
          <w:sz w:val="28"/>
          <w:szCs w:val="28"/>
          <w:lang w:eastAsia="hi-IN" w:bidi="hi-IN"/>
        </w:rPr>
        <w:t>02</w:t>
      </w:r>
      <w:r w:rsidRPr="00224B59">
        <w:rPr>
          <w:kern w:val="1"/>
          <w:sz w:val="28"/>
          <w:szCs w:val="28"/>
          <w:lang w:eastAsia="hi-IN" w:bidi="hi-IN"/>
        </w:rPr>
        <w:t>___________ 20</w:t>
      </w:r>
      <w:r w:rsidR="00817EF0">
        <w:rPr>
          <w:kern w:val="1"/>
          <w:sz w:val="28"/>
          <w:szCs w:val="28"/>
          <w:lang w:eastAsia="hi-IN" w:bidi="hi-IN"/>
        </w:rPr>
        <w:t>21</w:t>
      </w:r>
      <w:r>
        <w:rPr>
          <w:kern w:val="1"/>
          <w:sz w:val="28"/>
          <w:szCs w:val="28"/>
          <w:lang w:eastAsia="hi-IN" w:bidi="hi-IN"/>
        </w:rPr>
        <w:t>_</w:t>
      </w:r>
      <w:r w:rsidRPr="00224B59">
        <w:rPr>
          <w:kern w:val="1"/>
          <w:sz w:val="28"/>
          <w:szCs w:val="28"/>
          <w:lang w:eastAsia="hi-IN" w:bidi="hi-IN"/>
        </w:rPr>
        <w:t xml:space="preserve"> г.           протокол № __</w:t>
      </w:r>
      <w:r w:rsidR="007E15FF">
        <w:rPr>
          <w:kern w:val="1"/>
          <w:sz w:val="28"/>
          <w:szCs w:val="28"/>
          <w:lang w:eastAsia="hi-IN" w:bidi="hi-IN"/>
        </w:rPr>
        <w:t>6</w:t>
      </w:r>
      <w:bookmarkStart w:id="1" w:name="_GoBack"/>
      <w:bookmarkEnd w:id="1"/>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817EF0"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w:t>
      </w:r>
      <w:proofErr w:type="gramStart"/>
      <w:r>
        <w:rPr>
          <w:rFonts w:eastAsia="Times New Roman CYR"/>
          <w:color w:val="000000"/>
          <w:lang w:eastAsia="ar-SA"/>
        </w:rPr>
        <w:t xml:space="preserve">по </w:t>
      </w:r>
      <w:r w:rsidRPr="00450353">
        <w:rPr>
          <w:rFonts w:eastAsia="Times New Roman CYR"/>
          <w:color w:val="000000"/>
          <w:lang w:eastAsia="ar-SA"/>
        </w:rPr>
        <w:t xml:space="preserve"> </w:t>
      </w:r>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450353">
        <w:rPr>
          <w:rFonts w:eastAsia="Times New Roman CYR"/>
          <w:color w:val="000000"/>
          <w:lang w:eastAsia="ar-SA"/>
        </w:rPr>
        <w:t>из 20 заданий</w:t>
      </w:r>
      <w:proofErr w:type="gramEnd"/>
      <w:r w:rsidRPr="00450353">
        <w:rPr>
          <w:rFonts w:eastAsia="Times New Roman CYR"/>
          <w:color w:val="000000"/>
          <w:lang w:eastAsia="ar-SA"/>
        </w:rPr>
        <w:t xml:space="preserve"> отводится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4932C2" w:rsidRPr="00812E5F" w:rsidRDefault="004932C2" w:rsidP="004932C2">
      <w:pPr>
        <w:tabs>
          <w:tab w:val="left" w:pos="1982"/>
        </w:tabs>
        <w:ind w:firstLine="700"/>
        <w:jc w:val="both"/>
      </w:pPr>
      <w:r>
        <w:t xml:space="preserve">- </w:t>
      </w:r>
      <w:r w:rsidRPr="00812E5F">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812E5F">
        <w:t>Белов.-</w:t>
      </w:r>
      <w:proofErr w:type="gramEnd"/>
      <w:r w:rsidRPr="00812E5F">
        <w:t xml:space="preserve">5е изд., </w:t>
      </w:r>
      <w:proofErr w:type="spellStart"/>
      <w:r w:rsidRPr="00812E5F">
        <w:t>перераб</w:t>
      </w:r>
      <w:proofErr w:type="spellEnd"/>
      <w:r w:rsidRPr="00812E5F">
        <w:t xml:space="preserve">. и доп.-Москва: </w:t>
      </w:r>
      <w:proofErr w:type="spellStart"/>
      <w:r w:rsidRPr="00812E5F">
        <w:t>Юрайт</w:t>
      </w:r>
      <w:proofErr w:type="spellEnd"/>
      <w:r w:rsidRPr="00812E5F">
        <w:t>, 2015. - 702 с.</w:t>
      </w:r>
    </w:p>
    <w:p w:rsidR="004932C2" w:rsidRDefault="004932C2" w:rsidP="004932C2">
      <w:pPr>
        <w:tabs>
          <w:tab w:val="left" w:pos="1982"/>
        </w:tabs>
        <w:ind w:firstLine="700"/>
        <w:jc w:val="both"/>
        <w:rPr>
          <w:u w:val="single"/>
        </w:rPr>
      </w:pPr>
      <w:r>
        <w:t xml:space="preserve">-  </w:t>
      </w:r>
      <w:proofErr w:type="spellStart"/>
      <w:r w:rsidRPr="00B93EA3">
        <w:t>Цепелев</w:t>
      </w:r>
      <w:proofErr w:type="spellEnd"/>
      <w:r w:rsidRPr="00B93EA3">
        <w:t>, В. С. Основные сведения о БЖД</w:t>
      </w:r>
      <w:r w:rsidRPr="00812E5F">
        <w:t xml:space="preserve"> [Электронный ресурс] : учебное пособие / </w:t>
      </w:r>
      <w:r w:rsidRPr="00B93EA3">
        <w:t xml:space="preserve">В. С. </w:t>
      </w:r>
      <w:proofErr w:type="spellStart"/>
      <w:r w:rsidRPr="00B93EA3">
        <w:t>Цепелев</w:t>
      </w:r>
      <w:proofErr w:type="spellEnd"/>
      <w:r w:rsidRPr="00B93EA3">
        <w:t xml:space="preserve">, Г. В. Тягунов, И. Н. Фетисов. — </w:t>
      </w:r>
      <w:proofErr w:type="gramStart"/>
      <w:r w:rsidRPr="00B93EA3">
        <w:t>Екатеринбург :</w:t>
      </w:r>
      <w:proofErr w:type="gramEnd"/>
      <w:r w:rsidRPr="00B93EA3">
        <w:t xml:space="preserve"> Уральский федеральный университет, ЭБС АСВ, </w:t>
      </w:r>
      <w:r w:rsidRPr="00203EFB">
        <w:t xml:space="preserve">2014. -  120 c. -  Режим доступа: </w:t>
      </w:r>
      <w:hyperlink r:id="rId14" w:history="1">
        <w:r w:rsidRPr="00EA470F">
          <w:rPr>
            <w:rStyle w:val="a6"/>
          </w:rPr>
          <w:t>http://www.iprbookshop.ru/66560.html</w:t>
        </w:r>
      </w:hyperlink>
      <w:r w:rsidRPr="00203EFB">
        <w:rPr>
          <w:u w:val="single"/>
        </w:rPr>
        <w:t>.</w:t>
      </w:r>
    </w:p>
    <w:p w:rsidR="004932C2" w:rsidRDefault="004932C2" w:rsidP="004932C2">
      <w:pPr>
        <w:tabs>
          <w:tab w:val="left" w:pos="1982"/>
        </w:tabs>
        <w:ind w:firstLine="700"/>
        <w:jc w:val="both"/>
        <w:rPr>
          <w:u w:val="single"/>
        </w:rPr>
      </w:pPr>
      <w:r>
        <w:t xml:space="preserve">- </w:t>
      </w:r>
      <w:r w:rsidRPr="00203EFB">
        <w:t>Горохов, В. Л. Теория системного анализа и принятия решений в БЖД [Электронный ресурс]: учебное пособие / В. Л. Горохов, В. В. Цаплин. - Санкт-</w:t>
      </w:r>
      <w:proofErr w:type="gramStart"/>
      <w:r w:rsidRPr="00203EFB">
        <w:t>Петербург :</w:t>
      </w:r>
      <w:proofErr w:type="gramEnd"/>
      <w:r w:rsidRPr="00203EFB">
        <w:t xml:space="preserve"> Санкт-Петербургский государственный архитектурно-строительный университет, ЭБС АСВ, 2016. - 109 c.- Режим доступа: </w:t>
      </w:r>
      <w:hyperlink r:id="rId15" w:history="1">
        <w:r w:rsidRPr="00EA470F">
          <w:rPr>
            <w:rStyle w:val="a6"/>
          </w:rPr>
          <w:t>http://www.iprbookshop.ru/65842.html</w:t>
        </w:r>
      </w:hyperlink>
      <w:r w:rsidRPr="00203EFB">
        <w:rPr>
          <w:u w:val="single"/>
        </w:rPr>
        <w:t>.</w:t>
      </w:r>
    </w:p>
    <w:p w:rsidR="004932C2" w:rsidRDefault="004932C2" w:rsidP="004932C2">
      <w:pPr>
        <w:pStyle w:val="ReportMain"/>
        <w:suppressAutoHyphens/>
        <w:ind w:firstLine="709"/>
        <w:jc w:val="both"/>
        <w:rPr>
          <w:szCs w:val="24"/>
        </w:rPr>
      </w:pPr>
    </w:p>
    <w:p w:rsidR="004932C2" w:rsidRDefault="004932C2" w:rsidP="004932C2">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4932C2" w:rsidRPr="000603C4" w:rsidRDefault="004932C2" w:rsidP="004932C2">
      <w:pPr>
        <w:pStyle w:val="ReportMain"/>
        <w:keepNext/>
        <w:suppressAutoHyphens/>
        <w:ind w:firstLine="709"/>
        <w:jc w:val="both"/>
        <w:outlineLvl w:val="1"/>
        <w:rPr>
          <w:b/>
          <w:szCs w:val="24"/>
        </w:rPr>
      </w:pPr>
    </w:p>
    <w:p w:rsidR="004932C2" w:rsidRPr="009F2DC5" w:rsidRDefault="004932C2" w:rsidP="004932C2">
      <w:pPr>
        <w:pStyle w:val="ReportMain"/>
        <w:suppressAutoHyphens/>
        <w:ind w:firstLine="709"/>
        <w:jc w:val="both"/>
        <w:rPr>
          <w:szCs w:val="24"/>
        </w:rPr>
      </w:pPr>
      <w:r w:rsidRPr="000603C4">
        <w:rPr>
          <w:szCs w:val="24"/>
        </w:rPr>
        <w:t xml:space="preserve">-  </w:t>
      </w:r>
      <w:r w:rsidRPr="009F2DC5">
        <w:rPr>
          <w:szCs w:val="24"/>
        </w:rPr>
        <w:t xml:space="preserve">Русак, О. Н. Безопасность жизнедеятельности: учебное пособие / О.Н. Русак, К. Р. </w:t>
      </w:r>
      <w:proofErr w:type="spellStart"/>
      <w:r w:rsidRPr="009F2DC5">
        <w:rPr>
          <w:szCs w:val="24"/>
        </w:rPr>
        <w:t>Малаян</w:t>
      </w:r>
      <w:proofErr w:type="spellEnd"/>
      <w:r w:rsidRPr="009F2DC5">
        <w:rPr>
          <w:szCs w:val="24"/>
        </w:rPr>
        <w:t xml:space="preserve">, Н.Г. Занько; под общ. ред. О.Н. Русака. – Изд. 6-е стер. - СПб.: Издательство «Лань», 2003. - 448 с.                                    </w:t>
      </w:r>
    </w:p>
    <w:p w:rsidR="004932C2" w:rsidRPr="009F2DC5" w:rsidRDefault="004932C2" w:rsidP="004932C2">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4932C2" w:rsidRDefault="004932C2" w:rsidP="004932C2">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w:t>
      </w:r>
      <w:r w:rsidRPr="00B467E0">
        <w:rPr>
          <w:color w:val="000000"/>
        </w:rPr>
        <w:lastRenderedPageBreak/>
        <w:t xml:space="preserve">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w:t>
      </w:r>
      <w:proofErr w:type="gramStart"/>
      <w:r w:rsidRPr="00B467E0">
        <w:t>на  зачетах</w:t>
      </w:r>
      <w:proofErr w:type="gramEnd"/>
      <w:r w:rsidRPr="00B467E0">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lastRenderedPageBreak/>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4B7" w:rsidRDefault="00A834B7">
      <w:r>
        <w:separator/>
      </w:r>
    </w:p>
  </w:endnote>
  <w:endnote w:type="continuationSeparator" w:id="0">
    <w:p w:rsidR="00A834B7" w:rsidRDefault="00A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817EF0">
      <w:rPr>
        <w:noProof/>
        <w:sz w:val="28"/>
        <w:szCs w:val="28"/>
      </w:rPr>
      <w:t>3</w:t>
    </w:r>
    <w:r w:rsidRPr="005A4553">
      <w:rPr>
        <w:sz w:val="28"/>
        <w:szCs w:val="28"/>
      </w:rPr>
      <w:fldChar w:fldCharType="end"/>
    </w:r>
  </w:p>
  <w:p w:rsidR="00A97A75" w:rsidRDefault="007E15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4B7" w:rsidRDefault="00A834B7">
      <w:r>
        <w:separator/>
      </w:r>
    </w:p>
  </w:footnote>
  <w:footnote w:type="continuationSeparator" w:id="0">
    <w:p w:rsidR="00A834B7" w:rsidRDefault="00A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A30"/>
    <w:rsid w:val="00022F7B"/>
    <w:rsid w:val="00182046"/>
    <w:rsid w:val="0018230B"/>
    <w:rsid w:val="00202572"/>
    <w:rsid w:val="002039E4"/>
    <w:rsid w:val="002F54BF"/>
    <w:rsid w:val="00312BDB"/>
    <w:rsid w:val="003501FF"/>
    <w:rsid w:val="003A6AAE"/>
    <w:rsid w:val="003E34A7"/>
    <w:rsid w:val="00472D26"/>
    <w:rsid w:val="004932C2"/>
    <w:rsid w:val="00537DB0"/>
    <w:rsid w:val="005B1F11"/>
    <w:rsid w:val="005B5B37"/>
    <w:rsid w:val="005F2293"/>
    <w:rsid w:val="00604467"/>
    <w:rsid w:val="00605740"/>
    <w:rsid w:val="006C1717"/>
    <w:rsid w:val="006D64AA"/>
    <w:rsid w:val="00706706"/>
    <w:rsid w:val="00732146"/>
    <w:rsid w:val="0074329D"/>
    <w:rsid w:val="00757076"/>
    <w:rsid w:val="00782E40"/>
    <w:rsid w:val="007A2CE2"/>
    <w:rsid w:val="007B1C43"/>
    <w:rsid w:val="007E15FF"/>
    <w:rsid w:val="007E306A"/>
    <w:rsid w:val="0081233A"/>
    <w:rsid w:val="00817EF0"/>
    <w:rsid w:val="008228D3"/>
    <w:rsid w:val="00833B47"/>
    <w:rsid w:val="00880FD5"/>
    <w:rsid w:val="00901AF7"/>
    <w:rsid w:val="00905C6D"/>
    <w:rsid w:val="00907D58"/>
    <w:rsid w:val="00926AF7"/>
    <w:rsid w:val="00960488"/>
    <w:rsid w:val="00970A30"/>
    <w:rsid w:val="00971040"/>
    <w:rsid w:val="009967B3"/>
    <w:rsid w:val="009A6586"/>
    <w:rsid w:val="009C2C5A"/>
    <w:rsid w:val="00A36BD8"/>
    <w:rsid w:val="00A76293"/>
    <w:rsid w:val="00A834B7"/>
    <w:rsid w:val="00AD3758"/>
    <w:rsid w:val="00AD3BD3"/>
    <w:rsid w:val="00B4539F"/>
    <w:rsid w:val="00BB359D"/>
    <w:rsid w:val="00C53C29"/>
    <w:rsid w:val="00C8692B"/>
    <w:rsid w:val="00D340BC"/>
    <w:rsid w:val="00D357C5"/>
    <w:rsid w:val="00D50D5B"/>
    <w:rsid w:val="00D978E4"/>
    <w:rsid w:val="00E04327"/>
    <w:rsid w:val="00E924AF"/>
    <w:rsid w:val="00ED141B"/>
    <w:rsid w:val="00EF513F"/>
    <w:rsid w:val="00EF6DEE"/>
    <w:rsid w:val="00F074B7"/>
    <w:rsid w:val="00F31625"/>
    <w:rsid w:val="00F516BD"/>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9240"/>
  <w15:docId w15:val="{EF02AB92-4B12-4382-85B3-AD555E52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www.iprbookshop.ru/65842.html"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www.iprbookshop.ru/665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5041-6AEA-438C-97D9-D9F18066A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2705</Words>
  <Characters>15419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Екатерина Эрнстовна Савченкова</cp:lastModifiedBy>
  <cp:revision>5</cp:revision>
  <dcterms:created xsi:type="dcterms:W3CDTF">2020-09-24T10:33:00Z</dcterms:created>
  <dcterms:modified xsi:type="dcterms:W3CDTF">2021-02-19T06:37:00Z</dcterms:modified>
</cp:coreProperties>
</file>