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2C34BF" w:rsidRDefault="002C34BF" w:rsidP="002C34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277991" w:rsidRDefault="00277991" w:rsidP="0027799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«Б.1.Б.15 Теоретическая механика»</w:t>
      </w:r>
    </w:p>
    <w:p w:rsidR="00277991" w:rsidRDefault="00277991" w:rsidP="00277991">
      <w:pPr>
        <w:pStyle w:val="ReportHead"/>
        <w:suppressAutoHyphens/>
        <w:rPr>
          <w:sz w:val="24"/>
        </w:rPr>
      </w:pPr>
    </w:p>
    <w:p w:rsidR="00277991" w:rsidRDefault="00277991" w:rsidP="0027799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77991" w:rsidRDefault="00277991" w:rsidP="0027799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77991" w:rsidRDefault="00277991" w:rsidP="0027799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77991" w:rsidRDefault="00277991" w:rsidP="0027799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277991" w:rsidRDefault="00277991" w:rsidP="0027799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77991" w:rsidRDefault="00277991" w:rsidP="0027799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277991" w:rsidRDefault="00277991" w:rsidP="0027799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77991" w:rsidRDefault="00277991" w:rsidP="0027799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77991" w:rsidRDefault="00277991" w:rsidP="0027799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277991" w:rsidRDefault="00277991" w:rsidP="00277991">
      <w:pPr>
        <w:pStyle w:val="ReportHead"/>
        <w:suppressAutoHyphens/>
        <w:rPr>
          <w:sz w:val="24"/>
        </w:rPr>
      </w:pPr>
    </w:p>
    <w:p w:rsidR="00277991" w:rsidRDefault="00277991" w:rsidP="0027799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77991" w:rsidRDefault="00277991" w:rsidP="0027799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77991" w:rsidRDefault="00277991" w:rsidP="0027799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77991" w:rsidRDefault="00277991" w:rsidP="0027799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</w:pPr>
    </w:p>
    <w:p w:rsidR="002C34BF" w:rsidRDefault="002C34BF" w:rsidP="002C34BF">
      <w:pPr>
        <w:pStyle w:val="ReportHead"/>
        <w:suppressAutoHyphens/>
        <w:rPr>
          <w:sz w:val="24"/>
        </w:rPr>
        <w:sectPr w:rsidR="002C34BF" w:rsidSect="006C71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B63952">
        <w:rPr>
          <w:sz w:val="24"/>
        </w:rPr>
        <w:t>2</w:t>
      </w:r>
      <w:r w:rsidR="00D77C12">
        <w:rPr>
          <w:sz w:val="24"/>
        </w:rPr>
        <w:t>1</w:t>
      </w:r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Технич</w:t>
      </w:r>
      <w:r w:rsidR="007B0324">
        <w:rPr>
          <w:rFonts w:eastAsia="Times New Roman"/>
          <w:szCs w:val="24"/>
        </w:rPr>
        <w:t>е</w:t>
      </w:r>
      <w:r w:rsidR="007B0324">
        <w:rPr>
          <w:rFonts w:eastAsia="Times New Roman"/>
          <w:szCs w:val="24"/>
        </w:rPr>
        <w:t>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2C34BF" w:rsidRDefault="003246F8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86584" w:history="1">
        <w:r w:rsidR="002C34BF" w:rsidRPr="006C0D2F">
          <w:rPr>
            <w:rStyle w:val="a9"/>
            <w:noProof/>
          </w:rPr>
          <w:t>1 Методические рекомендации по освоению дисциплины</w:t>
        </w:r>
        <w:r w:rsidR="002C34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85" w:history="1">
        <w:r w:rsidR="002C34BF" w:rsidRPr="006C0D2F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_Toc22486585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4</w:t>
        </w:r>
        <w:r w:rsidR="003246F8"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86" w:history="1">
        <w:r w:rsidR="002C34BF" w:rsidRPr="006C0D2F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_Toc22486586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5</w:t>
        </w:r>
        <w:r w:rsidR="003246F8"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87" w:history="1">
        <w:r w:rsidR="002C34BF" w:rsidRPr="006C0D2F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_Toc22486587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5</w:t>
        </w:r>
        <w:r w:rsidR="003246F8"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88" w:history="1">
        <w:r w:rsidR="002C34BF" w:rsidRPr="006C0D2F">
          <w:rPr>
            <w:rStyle w:val="a9"/>
            <w:bCs/>
            <w:noProof/>
          </w:rPr>
          <w:t>5 Методические рекомендации по подготовке к выполнению расчетно-графического задания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_Toc22486588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6</w:t>
        </w:r>
        <w:r w:rsidR="003246F8"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89" w:history="1">
        <w:r w:rsidR="002C34BF" w:rsidRPr="006C0D2F">
          <w:rPr>
            <w:rStyle w:val="a9"/>
            <w:bCs/>
            <w:noProof/>
          </w:rPr>
          <w:t>6 Методические рекомендации по работе с литературой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_Toc22486589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6</w:t>
        </w:r>
        <w:r w:rsidR="003246F8">
          <w:rPr>
            <w:noProof/>
            <w:webHidden/>
          </w:rPr>
          <w:fldChar w:fldCharType="end"/>
        </w:r>
      </w:hyperlink>
    </w:p>
    <w:p w:rsidR="002C34BF" w:rsidRDefault="00D77C12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90" w:history="1">
        <w:r w:rsidR="002C34BF" w:rsidRPr="006C0D2F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2C34BF">
          <w:rPr>
            <w:noProof/>
            <w:webHidden/>
          </w:rPr>
          <w:tab/>
        </w:r>
        <w:r w:rsidR="003246F8">
          <w:rPr>
            <w:noProof/>
            <w:webHidden/>
          </w:rPr>
          <w:fldChar w:fldCharType="begin"/>
        </w:r>
        <w:r w:rsidR="002C34BF">
          <w:rPr>
            <w:noProof/>
            <w:webHidden/>
          </w:rPr>
          <w:instrText xml:space="preserve"> PAGEREF _Toc22486590 \h </w:instrText>
        </w:r>
        <w:r w:rsidR="003246F8">
          <w:rPr>
            <w:noProof/>
            <w:webHidden/>
          </w:rPr>
        </w:r>
        <w:r w:rsidR="003246F8">
          <w:rPr>
            <w:noProof/>
            <w:webHidden/>
          </w:rPr>
          <w:fldChar w:fldCharType="separate"/>
        </w:r>
        <w:r w:rsidR="002C34BF">
          <w:rPr>
            <w:noProof/>
            <w:webHidden/>
          </w:rPr>
          <w:t>7</w:t>
        </w:r>
        <w:r w:rsidR="003246F8">
          <w:rPr>
            <w:noProof/>
            <w:webHidden/>
          </w:rPr>
          <w:fldChar w:fldCharType="end"/>
        </w:r>
      </w:hyperlink>
    </w:p>
    <w:p w:rsidR="004D07DC" w:rsidRPr="000967EF" w:rsidRDefault="003246F8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15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86584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Pr="00B37679">
        <w:rPr>
          <w:szCs w:val="24"/>
        </w:rPr>
        <w:t>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E62E01">
        <w:rPr>
          <w:szCs w:val="24"/>
        </w:rPr>
        <w:t>ра</w:t>
      </w:r>
      <w:r w:rsidR="00E62E01">
        <w:rPr>
          <w:szCs w:val="24"/>
        </w:rPr>
        <w:t>с</w:t>
      </w:r>
      <w:r w:rsidR="00E62E01">
        <w:rPr>
          <w:szCs w:val="24"/>
        </w:rPr>
        <w:t>четно-графического задания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6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7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8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9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20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21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22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23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86585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86586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86587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86588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>
        <w:rPr>
          <w:bCs/>
          <w:sz w:val="28"/>
          <w:szCs w:val="28"/>
        </w:rPr>
        <w:t>расчетно-графического задания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(РГЗ) – один из важных видов самостоятельной работы об</w:t>
      </w:r>
      <w:r w:rsidRPr="00E62E01">
        <w:t>у</w:t>
      </w:r>
      <w:r w:rsidRPr="00E62E01">
        <w:t>чающихся. Их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выдаются каждому обучающему индивидуально преподав</w:t>
      </w:r>
      <w:r w:rsidRPr="00E62E01">
        <w:t>а</w:t>
      </w:r>
      <w:r w:rsidRPr="00E62E01">
        <w:t>телем, ведущим практические занятия. Этот же преподаватель осуществляет руководство по в</w:t>
      </w:r>
      <w:r w:rsidRPr="00E62E01">
        <w:t>ы</w:t>
      </w:r>
      <w:r w:rsidRPr="00E62E01">
        <w:t>полнению РГЗ, оказывает помощь в виде консультаций и принимает отчет по РГЗ.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Перед выполнением расчётно-графической работы следует внимательно изучить теоретич</w:t>
      </w:r>
      <w:r w:rsidRPr="00E62E01">
        <w:t>е</w:t>
      </w:r>
      <w:r w:rsidRPr="00E62E01">
        <w:t xml:space="preserve">ский материал по данным методическим указаниям и приведенной литературе. </w:t>
      </w:r>
      <w:r w:rsidRPr="00E62E01">
        <w:rPr>
          <w:bCs/>
          <w:iCs/>
        </w:rPr>
        <w:t>Отчет по РГЗ в</w:t>
      </w:r>
      <w:r w:rsidRPr="00E62E01">
        <w:rPr>
          <w:bCs/>
          <w:iCs/>
        </w:rPr>
        <w:t>ы</w:t>
      </w:r>
      <w:r w:rsidRPr="00E62E01">
        <w:rPr>
          <w:bCs/>
          <w:iCs/>
        </w:rPr>
        <w:t>полняется в соответствии</w:t>
      </w:r>
      <w:r w:rsidRPr="00E62E01">
        <w:t xml:space="preserve"> с </w:t>
      </w:r>
      <w:hyperlink r:id="rId24" w:history="1">
        <w:r w:rsidRPr="00E62E01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proofErr w:type="gramStart"/>
      <w:r w:rsidRPr="00E62E01">
        <w:t>P</w:t>
      </w:r>
      <w:proofErr w:type="gramEnd"/>
      <w:r w:rsidRPr="00E62E01">
        <w:t>ГЗ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E62E01">
        <w:rPr>
          <w:bCs/>
          <w:iCs/>
        </w:rPr>
        <w:t xml:space="preserve"> вопросы преподав</w:t>
      </w:r>
      <w:r w:rsidRPr="00E62E01">
        <w:rPr>
          <w:bCs/>
          <w:iCs/>
        </w:rPr>
        <w:t>а</w:t>
      </w:r>
      <w:r w:rsidRPr="00E62E01">
        <w:rPr>
          <w:bCs/>
          <w:iCs/>
        </w:rPr>
        <w:t>теля</w:t>
      </w:r>
      <w:r w:rsidRPr="00E62E01">
        <w:t>, уметь объяснить постановку и метод решения заданий, смысл используемых величин и зак</w:t>
      </w:r>
      <w:r w:rsidRPr="00E62E01">
        <w:t>о</w:t>
      </w:r>
      <w:r w:rsidRPr="00E62E01">
        <w:t>нов, уметь выполнить аналогичное задание или его часть.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86589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25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6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7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8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9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30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86590"/>
      <w:r>
        <w:rPr>
          <w:bCs/>
          <w:sz w:val="28"/>
          <w:szCs w:val="28"/>
        </w:rPr>
        <w:lastRenderedPageBreak/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444898">
        <w:rPr>
          <w:color w:val="auto"/>
        </w:rPr>
        <w:t>дифференцированный зачет</w:t>
      </w:r>
      <w:r w:rsidRPr="0064464A">
        <w:rPr>
          <w:color w:val="auto"/>
        </w:rPr>
        <w:t>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Дифференцированный зачет</w:t>
      </w:r>
      <w:r w:rsidR="004A5453"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</w:t>
      </w:r>
      <w:r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подготовке к зачету</w:t>
      </w:r>
      <w:r w:rsidR="00CA1C65">
        <w:rPr>
          <w:rFonts w:eastAsia="Times New Roman"/>
          <w:szCs w:val="24"/>
          <w:lang w:eastAsia="ru-RU"/>
        </w:rPr>
        <w:t xml:space="preserve">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>, предста</w:t>
      </w:r>
      <w:r w:rsidR="00CA1C65">
        <w:rPr>
          <w:rFonts w:eastAsia="Times New Roman"/>
          <w:szCs w:val="24"/>
          <w:lang w:eastAsia="ru-RU"/>
        </w:rPr>
        <w:t>в</w:t>
      </w:r>
      <w:r w:rsidR="00CA1C65">
        <w:rPr>
          <w:rFonts w:eastAsia="Times New Roman"/>
          <w:szCs w:val="24"/>
          <w:lang w:eastAsia="ru-RU"/>
        </w:rPr>
        <w:t>ленных 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>повторить весь теоретический материал, используя конспект лекций, основную и дополнительную литературу, рекомендованную рабочей программой дисц</w:t>
      </w:r>
      <w:r w:rsidR="00CA1C65">
        <w:rPr>
          <w:rFonts w:eastAsia="Times New Roman"/>
          <w:szCs w:val="24"/>
          <w:lang w:eastAsia="ru-RU"/>
        </w:rPr>
        <w:t>и</w:t>
      </w:r>
      <w:r w:rsidR="00CA1C65">
        <w:rPr>
          <w:rFonts w:eastAsia="Times New Roman"/>
          <w:szCs w:val="24"/>
          <w:lang w:eastAsia="ru-RU"/>
        </w:rPr>
        <w:t xml:space="preserve">плины, </w:t>
      </w:r>
      <w:r w:rsidR="00CA1C65" w:rsidRPr="000967EF">
        <w:rPr>
          <w:rFonts w:eastAsia="Times New Roman"/>
          <w:szCs w:val="24"/>
          <w:lang w:eastAsia="ru-RU"/>
        </w:rPr>
        <w:t>составить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</w:t>
      </w:r>
      <w:r w:rsidR="004A5453">
        <w:rPr>
          <w:rFonts w:eastAsia="Times New Roman"/>
          <w:szCs w:val="24"/>
          <w:lang w:eastAsia="ru-RU"/>
        </w:rPr>
        <w:t>а</w:t>
      </w:r>
      <w:r w:rsidR="004A5453">
        <w:rPr>
          <w:rFonts w:eastAsia="Times New Roman"/>
          <w:szCs w:val="24"/>
          <w:lang w:eastAsia="ru-RU"/>
        </w:rPr>
        <w:t>дач, рассмотренных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решения</w:t>
      </w:r>
      <w:r w:rsidR="004A5453">
        <w:rPr>
          <w:rFonts w:eastAsia="Times New Roman"/>
          <w:szCs w:val="24"/>
          <w:lang w:eastAsia="ru-RU"/>
        </w:rPr>
        <w:t>.</w:t>
      </w:r>
    </w:p>
    <w:p w:rsidR="00384C81" w:rsidRPr="00CA1C65" w:rsidRDefault="00384C81" w:rsidP="00384C81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>На консультациях могут быть получены ответы на трудные или оставшиеся неясными в</w:t>
      </w:r>
      <w:r w:rsidRPr="000967EF">
        <w:rPr>
          <w:szCs w:val="24"/>
        </w:rPr>
        <w:t>о</w:t>
      </w:r>
      <w:r w:rsidRPr="000967EF">
        <w:rPr>
          <w:szCs w:val="24"/>
        </w:rPr>
        <w:t xml:space="preserve">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>ния.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DC0" w:rsidRDefault="00B74DC0" w:rsidP="00A913D4">
      <w:pPr>
        <w:spacing w:after="0" w:line="240" w:lineRule="auto"/>
      </w:pPr>
      <w:r>
        <w:separator/>
      </w:r>
    </w:p>
  </w:endnote>
  <w:endnote w:type="continuationSeparator" w:id="0">
    <w:p w:rsidR="00B74DC0" w:rsidRDefault="00B74DC0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2" w:rsidRDefault="00D77C12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4BF" w:rsidRPr="00D77C12" w:rsidRDefault="002C34BF" w:rsidP="00D77C12">
    <w:pPr>
      <w:pStyle w:val="af9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2" w:rsidRDefault="00D77C12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B74DC0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D77C12">
      <w:rPr>
        <w:noProof/>
      </w:rPr>
      <w:t>7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DC0" w:rsidRDefault="00B74DC0" w:rsidP="00A913D4">
      <w:pPr>
        <w:spacing w:after="0" w:line="240" w:lineRule="auto"/>
      </w:pPr>
      <w:r>
        <w:separator/>
      </w:r>
    </w:p>
  </w:footnote>
  <w:footnote w:type="continuationSeparator" w:id="0">
    <w:p w:rsidR="00B74DC0" w:rsidRDefault="00B74DC0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2" w:rsidRDefault="00D77C1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2" w:rsidRDefault="00D77C12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2" w:rsidRDefault="00D77C1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448C"/>
    <w:rsid w:val="000F6F02"/>
    <w:rsid w:val="000F7229"/>
    <w:rsid w:val="001024C8"/>
    <w:rsid w:val="001032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13DF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77991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4BF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246F8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3634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07D00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0F7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48A7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52"/>
    <w:rsid w:val="00B63965"/>
    <w:rsid w:val="00B65A98"/>
    <w:rsid w:val="00B74115"/>
    <w:rsid w:val="00B74DC0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5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4B3D"/>
    <w:rsid w:val="00D24C3C"/>
    <w:rsid w:val="00D349D7"/>
    <w:rsid w:val="00D35908"/>
    <w:rsid w:val="00D369CB"/>
    <w:rsid w:val="00D37F20"/>
    <w:rsid w:val="00D4004F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77C12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14BF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uiPriority w:val="99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osu.ru/doc/1302" TargetMode="External"/><Relationship Id="rId26" Type="http://schemas.openxmlformats.org/officeDocument/2006/relationships/hyperlink" Target="http://www.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aist.osu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www.osu.ru/iss/lks/" TargetMode="External"/><Relationship Id="rId25" Type="http://schemas.openxmlformats.org/officeDocument/2006/relationships/hyperlink" Target="http://www.apor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" TargetMode="External"/><Relationship Id="rId20" Type="http://schemas.openxmlformats.org/officeDocument/2006/relationships/hyperlink" Target="https://moodle.osu.ru/" TargetMode="External"/><Relationship Id="rId29" Type="http://schemas.openxmlformats.org/officeDocument/2006/relationships/hyperlink" Target="http://www.altavista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moodle.osu.ru/mod/url/view.php?id=5780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hyperlink" Target="http://www.osu.ru/doc/635/kafedra/6679" TargetMode="External"/><Relationship Id="rId28" Type="http://schemas.openxmlformats.org/officeDocument/2006/relationships/hyperlink" Target="http://www.rambler.ru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osu.ru/doc/2763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osu.ru/site_new" TargetMode="External"/><Relationship Id="rId27" Type="http://schemas.openxmlformats.org/officeDocument/2006/relationships/hyperlink" Target="http://www.list.ru" TargetMode="External"/><Relationship Id="rId30" Type="http://schemas.openxmlformats.org/officeDocument/2006/relationships/hyperlink" Target="http://www.zaklad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4B25-BBE4-4581-A6F9-F876B02B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2213</Words>
  <Characters>12620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МИНОБРНАУКИ РОССИИ</vt:lpstr>
      <vt:lpstr>1 Методические рекомендации по освоению дисциплины</vt:lpstr>
      <vt:lpstr>2 Методические рекомендации по подготовке к лекционным занятиям</vt:lpstr>
      <vt:lpstr>3 Методические рекомендации по подготовке к практическим занятиям </vt:lpstr>
      <vt:lpstr>4 Методические рекомендации по организации самостоятельной работы</vt:lpstr>
      <vt:lpstr>5 Методические рекомендации по подготовке к выполнению расчетно-графического зад</vt:lpstr>
      <vt:lpstr/>
      <vt:lpstr/>
      <vt:lpstr>6 Методические рекомендации по работе с литературой</vt:lpstr>
      <vt:lpstr>7 Методические рекомендации по подготовке к текущему и рубежному контролю и пром</vt:lpstr>
    </vt:vector>
  </TitlesOfParts>
  <Company/>
  <LinksUpToDate>false</LinksUpToDate>
  <CharactersWithSpaces>14804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4</cp:revision>
  <cp:lastPrinted>2019-09-16T05:51:00Z</cp:lastPrinted>
  <dcterms:created xsi:type="dcterms:W3CDTF">2019-10-21T16:02:00Z</dcterms:created>
  <dcterms:modified xsi:type="dcterms:W3CDTF">2021-02-10T11:49:00Z</dcterms:modified>
</cp:coreProperties>
</file>