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E4" w:rsidRDefault="00B50DE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50DE4" w:rsidRDefault="00B50DE4">
      <w:pPr>
        <w:pStyle w:val="ConsPlusNormal"/>
        <w:jc w:val="both"/>
        <w:outlineLvl w:val="0"/>
      </w:pPr>
    </w:p>
    <w:p w:rsidR="00B50DE4" w:rsidRDefault="00B50DE4">
      <w:pPr>
        <w:pStyle w:val="ConsPlusNormal"/>
        <w:outlineLvl w:val="0"/>
      </w:pPr>
      <w:r>
        <w:t>Зарегистрировано в Минюсте России 7 сентября 2021 г. N 64909</w:t>
      </w:r>
    </w:p>
    <w:p w:rsidR="00B50DE4" w:rsidRDefault="00B50DE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</w:pPr>
      <w:r>
        <w:t>МИНИСТЕРСТВО НАУКИ И ВЫСШЕГО ОБРАЗОВАНИЯ</w:t>
      </w:r>
    </w:p>
    <w:p w:rsidR="00B50DE4" w:rsidRDefault="00B50DE4">
      <w:pPr>
        <w:pStyle w:val="ConsPlusTitle"/>
        <w:jc w:val="center"/>
      </w:pPr>
      <w:r>
        <w:t>РОССИЙСКОЙ ФЕДЕРАЦИИ</w:t>
      </w:r>
    </w:p>
    <w:p w:rsidR="00B50DE4" w:rsidRDefault="00B50DE4">
      <w:pPr>
        <w:pStyle w:val="ConsPlusTitle"/>
        <w:jc w:val="center"/>
      </w:pPr>
    </w:p>
    <w:p w:rsidR="00B50DE4" w:rsidRDefault="00B50DE4">
      <w:pPr>
        <w:pStyle w:val="ConsPlusTitle"/>
        <w:jc w:val="center"/>
      </w:pPr>
      <w:r>
        <w:t>ПРИКАЗ</w:t>
      </w:r>
    </w:p>
    <w:p w:rsidR="00B50DE4" w:rsidRDefault="00B50DE4">
      <w:pPr>
        <w:pStyle w:val="ConsPlusTitle"/>
        <w:jc w:val="center"/>
      </w:pPr>
      <w:r>
        <w:t>от 9 августа 2021 г. N 727</w:t>
      </w:r>
    </w:p>
    <w:p w:rsidR="00B50DE4" w:rsidRDefault="00B50DE4">
      <w:pPr>
        <w:pStyle w:val="ConsPlusTitle"/>
        <w:jc w:val="center"/>
      </w:pPr>
    </w:p>
    <w:p w:rsidR="00B50DE4" w:rsidRDefault="00B50DE4">
      <w:pPr>
        <w:pStyle w:val="ConsPlusTitle"/>
        <w:jc w:val="center"/>
      </w:pPr>
      <w:r>
        <w:t>ОБ УТВЕРЖДЕНИИ</w:t>
      </w:r>
    </w:p>
    <w:p w:rsidR="00B50DE4" w:rsidRDefault="00B50DE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50DE4" w:rsidRDefault="00B50DE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50DE4" w:rsidRDefault="00B50DE4">
      <w:pPr>
        <w:pStyle w:val="ConsPlusTitle"/>
        <w:jc w:val="center"/>
      </w:pPr>
      <w:r>
        <w:t>15.03.01 МАШИНОСТРОЕНИЕ</w:t>
      </w:r>
    </w:p>
    <w:p w:rsidR="00B50DE4" w:rsidRDefault="00B50DE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50DE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DE4" w:rsidRDefault="00B50DE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DE4" w:rsidRDefault="00B50DE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0DE4" w:rsidRDefault="00B50D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0DE4" w:rsidRDefault="00B50DE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0DE4" w:rsidRDefault="00B50D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DE4" w:rsidRDefault="00B50DE4">
            <w:pPr>
              <w:pStyle w:val="ConsPlusNormal"/>
            </w:pPr>
          </w:p>
        </w:tc>
      </w:tr>
    </w:tbl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15.03.01 Машиностроение (далее - стандарт).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по направлению подготовки 15.03.01 Машиностроение (уровень бакалавриата), утвержденным приказом Министерства образования и науки Российской Федерации от 3 сентября 2015 г. N 957 (зарегистрирован Министерством юстиции Российской Федерации 25 сентября 2015 г., регистрационный N 39005), прекращается 31 декабря 2021 года.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right"/>
      </w:pPr>
      <w:r>
        <w:t>Врио Министра</w:t>
      </w:r>
    </w:p>
    <w:p w:rsidR="00B50DE4" w:rsidRDefault="00B50DE4">
      <w:pPr>
        <w:pStyle w:val="ConsPlusNormal"/>
        <w:jc w:val="right"/>
      </w:pPr>
      <w:r>
        <w:t>А.В.НАРУКАВНИКОВ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right"/>
        <w:outlineLvl w:val="0"/>
      </w:pPr>
      <w:r>
        <w:t>Приложение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right"/>
      </w:pPr>
      <w:r>
        <w:t>Утвержден</w:t>
      </w:r>
    </w:p>
    <w:p w:rsidR="00B50DE4" w:rsidRDefault="00B50DE4">
      <w:pPr>
        <w:pStyle w:val="ConsPlusNormal"/>
        <w:jc w:val="right"/>
      </w:pPr>
      <w:r>
        <w:lastRenderedPageBreak/>
        <w:t>приказом Министерства</w:t>
      </w:r>
    </w:p>
    <w:p w:rsidR="00B50DE4" w:rsidRDefault="00B50DE4">
      <w:pPr>
        <w:pStyle w:val="ConsPlusNormal"/>
        <w:jc w:val="right"/>
      </w:pPr>
      <w:r>
        <w:t>науки и высшего образования</w:t>
      </w:r>
    </w:p>
    <w:p w:rsidR="00B50DE4" w:rsidRDefault="00B50DE4">
      <w:pPr>
        <w:pStyle w:val="ConsPlusNormal"/>
        <w:jc w:val="right"/>
      </w:pPr>
      <w:r>
        <w:t>Российской Федерации</w:t>
      </w:r>
    </w:p>
    <w:p w:rsidR="00B50DE4" w:rsidRDefault="00B50DE4">
      <w:pPr>
        <w:pStyle w:val="ConsPlusNormal"/>
        <w:jc w:val="right"/>
      </w:pPr>
      <w:r>
        <w:t>от 9 августа 2021 г. N 727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B50DE4" w:rsidRDefault="00B50DE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50DE4" w:rsidRDefault="00B50DE4">
      <w:pPr>
        <w:pStyle w:val="ConsPlusTitle"/>
        <w:jc w:val="center"/>
      </w:pPr>
      <w:r>
        <w:t>15.03.01 МАШИНОСТРОЕНИЕ</w:t>
      </w:r>
    </w:p>
    <w:p w:rsidR="00B50DE4" w:rsidRDefault="00B50DE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50DE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DE4" w:rsidRDefault="00B50DE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DE4" w:rsidRDefault="00B50DE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0DE4" w:rsidRDefault="00B50D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0DE4" w:rsidRDefault="00B50DE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1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50DE4" w:rsidRDefault="00B50D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2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0DE4" w:rsidRDefault="00B50DE4">
            <w:pPr>
              <w:pStyle w:val="ConsPlusNormal"/>
            </w:pPr>
          </w:p>
        </w:tc>
      </w:tr>
    </w:tbl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  <w:outlineLvl w:val="1"/>
      </w:pPr>
      <w:r>
        <w:t>I. Общие положения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15.03.01 Машиностроение (далее соответственно - программа бакалавриата, направление подготовки).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B50DE4" w:rsidRDefault="00B50DE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Организация разрабатывает программу бакалавриата в соответствии с ФГОС </w:t>
      </w:r>
      <w:proofErr w:type="gramStart"/>
      <w:r>
        <w:t>ВО</w:t>
      </w:r>
      <w:proofErr w:type="gramEnd"/>
      <w:r>
        <w:t>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bookmarkStart w:id="1" w:name="P60"/>
      <w:bookmarkEnd w:id="1"/>
      <w:r>
        <w:lastRenderedPageBreak/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50DE4" w:rsidRDefault="00B50DE4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B50DE4" w:rsidRDefault="00B50DE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50DE4" w:rsidRDefault="00B50DE4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50DE4" w:rsidRDefault="00B50DE4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Область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0DE4" w:rsidRDefault="00B50DE4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4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hyperlink r:id="rId15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заготовительного производства; механосборочного производства; механообрабатывающего производства; гибкого автоматизированного производства деталей и узлов машин и оборудования);</w:t>
      </w:r>
    </w:p>
    <w:p w:rsidR="00B50DE4" w:rsidRDefault="00B50DE4">
      <w:pPr>
        <w:pStyle w:val="ConsPlusNormal"/>
        <w:spacing w:before="220"/>
        <w:ind w:firstLine="540"/>
        <w:jc w:val="both"/>
      </w:pPr>
      <w:hyperlink r:id="rId16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технологического оборудования и инструментальной техники, производственных технологических процессов, их разработки и освоения новых технологий; нормативно-технической документации; системы стандартизации и сертификации, разработки технологической оснастки и средств механизации и автоматизации технологических процессов машиностроения, средств </w:t>
      </w:r>
      <w:r>
        <w:lastRenderedPageBreak/>
        <w:t>информационного, метрологического, диагностического и управленческого обеспечения технологических систем для достижения качества выпускаемых изделий, методов и средств испытаний и контроля качества изделий машиностроения).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50DE4" w:rsidRDefault="00B50DE4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сервисно-эксплуатационный.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50DE4" w:rsidRDefault="00B50DE4">
      <w:pPr>
        <w:pStyle w:val="ConsPlusNormal"/>
        <w:spacing w:before="220"/>
        <w:ind w:firstLine="540"/>
        <w:jc w:val="both"/>
      </w:pPr>
      <w:hyperlink w:anchor="P10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50DE4" w:rsidRDefault="00B50DE4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2</w:t>
        </w:r>
      </w:hyperlink>
      <w:r>
        <w:t xml:space="preserve"> "Практика";</w:t>
      </w:r>
    </w:p>
    <w:p w:rsidR="00B50DE4" w:rsidRDefault="00B50DE4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center"/>
      </w:pPr>
      <w:r>
        <w:t>Структура и объем программы бакалавриата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right"/>
      </w:pPr>
      <w:r>
        <w:t>Таблица</w:t>
      </w:r>
    </w:p>
    <w:p w:rsidR="00B50DE4" w:rsidRDefault="00B50D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535"/>
        <w:gridCol w:w="3402"/>
      </w:tblGrid>
      <w:tr w:rsidR="00B50DE4">
        <w:tc>
          <w:tcPr>
            <w:tcW w:w="5669" w:type="dxa"/>
            <w:gridSpan w:val="2"/>
          </w:tcPr>
          <w:p w:rsidR="00B50DE4" w:rsidRDefault="00B50DE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02" w:type="dxa"/>
          </w:tcPr>
          <w:p w:rsidR="00B50DE4" w:rsidRDefault="00B50DE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50DE4">
        <w:tc>
          <w:tcPr>
            <w:tcW w:w="1134" w:type="dxa"/>
          </w:tcPr>
          <w:p w:rsidR="00B50DE4" w:rsidRDefault="00B50DE4">
            <w:pPr>
              <w:pStyle w:val="ConsPlusNormal"/>
              <w:ind w:firstLine="283"/>
              <w:jc w:val="both"/>
            </w:pPr>
            <w:bookmarkStart w:id="5" w:name="P101"/>
            <w:bookmarkEnd w:id="5"/>
            <w:r>
              <w:lastRenderedPageBreak/>
              <w:t>Блок 1</w:t>
            </w:r>
          </w:p>
        </w:tc>
        <w:tc>
          <w:tcPr>
            <w:tcW w:w="4535" w:type="dxa"/>
          </w:tcPr>
          <w:p w:rsidR="00B50DE4" w:rsidRDefault="00B50DE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0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не менее 200</w:t>
            </w:r>
          </w:p>
        </w:tc>
      </w:tr>
      <w:tr w:rsidR="00B50DE4">
        <w:tc>
          <w:tcPr>
            <w:tcW w:w="1134" w:type="dxa"/>
          </w:tcPr>
          <w:p w:rsidR="00B50DE4" w:rsidRDefault="00B50DE4">
            <w:pPr>
              <w:pStyle w:val="ConsPlusNormal"/>
              <w:ind w:firstLine="283"/>
              <w:jc w:val="both"/>
            </w:pPr>
            <w:bookmarkStart w:id="6" w:name="P104"/>
            <w:bookmarkEnd w:id="6"/>
            <w:r>
              <w:t>Блок 2</w:t>
            </w:r>
          </w:p>
        </w:tc>
        <w:tc>
          <w:tcPr>
            <w:tcW w:w="4535" w:type="dxa"/>
          </w:tcPr>
          <w:p w:rsidR="00B50DE4" w:rsidRDefault="00B50DE4">
            <w:pPr>
              <w:pStyle w:val="ConsPlusNormal"/>
            </w:pPr>
            <w:r>
              <w:t>Практика</w:t>
            </w:r>
          </w:p>
        </w:tc>
        <w:tc>
          <w:tcPr>
            <w:tcW w:w="340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B50DE4">
        <w:tc>
          <w:tcPr>
            <w:tcW w:w="1134" w:type="dxa"/>
          </w:tcPr>
          <w:p w:rsidR="00B50DE4" w:rsidRDefault="00B50DE4">
            <w:pPr>
              <w:pStyle w:val="ConsPlusNormal"/>
              <w:ind w:firstLine="283"/>
              <w:jc w:val="both"/>
            </w:pPr>
            <w:bookmarkStart w:id="7" w:name="P107"/>
            <w:bookmarkEnd w:id="7"/>
            <w:r>
              <w:t>Блок 3</w:t>
            </w:r>
          </w:p>
        </w:tc>
        <w:tc>
          <w:tcPr>
            <w:tcW w:w="4535" w:type="dxa"/>
          </w:tcPr>
          <w:p w:rsidR="00B50DE4" w:rsidRDefault="00B50DE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0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6 - 9</w:t>
            </w:r>
          </w:p>
        </w:tc>
      </w:tr>
      <w:tr w:rsidR="00B50DE4">
        <w:tc>
          <w:tcPr>
            <w:tcW w:w="5669" w:type="dxa"/>
            <w:gridSpan w:val="2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40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240</w:t>
            </w:r>
          </w:p>
        </w:tc>
      </w:tr>
    </w:tbl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bookmarkStart w:id="8" w:name="P113"/>
      <w:bookmarkEnd w:id="8"/>
      <w:r>
        <w:t xml:space="preserve">2.2. Программа бакалавриата в рамках </w:t>
      </w:r>
      <w:hyperlink w:anchor="P10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B50DE4" w:rsidRDefault="00B50DE4">
      <w:pPr>
        <w:pStyle w:val="ConsPlusNormal"/>
        <w:jc w:val="both"/>
      </w:pPr>
      <w:r>
        <w:t xml:space="preserve">(п. 2.2 в ред. </w:t>
      </w:r>
      <w:hyperlink r:id="rId17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50DE4" w:rsidRDefault="00B50DE4">
      <w:pPr>
        <w:pStyle w:val="ConsPlusNormal"/>
        <w:spacing w:before="220"/>
        <w:ind w:firstLine="540"/>
        <w:jc w:val="both"/>
      </w:pPr>
      <w:bookmarkStart w:id="9" w:name="P121"/>
      <w:bookmarkEnd w:id="9"/>
      <w:r>
        <w:t xml:space="preserve">2.4. В </w:t>
      </w:r>
      <w:hyperlink w:anchor="P10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эксплуатационная практика.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2.5. Организация: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</w:t>
      </w:r>
      <w:r>
        <w:lastRenderedPageBreak/>
        <w:t xml:space="preserve">производственной практики из перечня, указанного в </w:t>
      </w:r>
      <w:hyperlink w:anchor="P12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2.6. В </w:t>
      </w:r>
      <w:hyperlink w:anchor="P10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2.7.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2.8.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 в том числе: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3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50DE4" w:rsidRDefault="00B50DE4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50DE4" w:rsidRDefault="00B50DE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60 процентов общего объема программы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2.9.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50DE4" w:rsidRDefault="00B50DE4">
      <w:pPr>
        <w:pStyle w:val="ConsPlusTitle"/>
        <w:jc w:val="center"/>
      </w:pPr>
      <w:r>
        <w:t>программы бакалавриата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50DE4" w:rsidRDefault="00B50D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365"/>
      </w:tblGrid>
      <w:tr w:rsidR="00B50DE4">
        <w:tc>
          <w:tcPr>
            <w:tcW w:w="2665" w:type="dxa"/>
          </w:tcPr>
          <w:p w:rsidR="00B50DE4" w:rsidRDefault="00B50DE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65" w:type="dxa"/>
          </w:tcPr>
          <w:p w:rsidR="00B50DE4" w:rsidRDefault="00B50DE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Коммуникация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50DE4">
        <w:tc>
          <w:tcPr>
            <w:tcW w:w="2665" w:type="dxa"/>
            <w:vMerge w:val="restart"/>
            <w:vAlign w:val="center"/>
          </w:tcPr>
          <w:p w:rsidR="00B50DE4" w:rsidRDefault="00B50DE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50DE4">
        <w:tc>
          <w:tcPr>
            <w:tcW w:w="2665" w:type="dxa"/>
            <w:vMerge/>
          </w:tcPr>
          <w:p w:rsidR="00B50DE4" w:rsidRDefault="00B50DE4">
            <w:pPr>
              <w:pStyle w:val="ConsPlusNormal"/>
            </w:pP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50DE4">
        <w:tc>
          <w:tcPr>
            <w:tcW w:w="2665" w:type="dxa"/>
            <w:vAlign w:val="center"/>
          </w:tcPr>
          <w:p w:rsidR="00B50DE4" w:rsidRDefault="00B50DE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365" w:type="dxa"/>
            <w:vAlign w:val="center"/>
          </w:tcPr>
          <w:p w:rsidR="00B50DE4" w:rsidRDefault="00B50DE4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50DE4">
        <w:tblPrEx>
          <w:tblBorders>
            <w:insideH w:val="nil"/>
          </w:tblBorders>
        </w:tblPrEx>
        <w:tc>
          <w:tcPr>
            <w:tcW w:w="2665" w:type="dxa"/>
            <w:tcBorders>
              <w:bottom w:val="nil"/>
            </w:tcBorders>
          </w:tcPr>
          <w:p w:rsidR="00B50DE4" w:rsidRDefault="00B50DE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365" w:type="dxa"/>
            <w:tcBorders>
              <w:bottom w:val="nil"/>
            </w:tcBorders>
          </w:tcPr>
          <w:p w:rsidR="00B50DE4" w:rsidRDefault="00B50DE4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50DE4">
        <w:tblPrEx>
          <w:tblBorders>
            <w:insideH w:val="nil"/>
          </w:tblBorders>
        </w:tblPrEx>
        <w:tc>
          <w:tcPr>
            <w:tcW w:w="9030" w:type="dxa"/>
            <w:gridSpan w:val="2"/>
            <w:tcBorders>
              <w:top w:val="nil"/>
            </w:tcBorders>
          </w:tcPr>
          <w:p w:rsidR="00B50DE4" w:rsidRDefault="00B50DE4">
            <w:pPr>
              <w:pStyle w:val="ConsPlusNormal"/>
              <w:jc w:val="both"/>
            </w:pPr>
            <w:r>
              <w:t xml:space="preserve">(в ред. </w:t>
            </w:r>
            <w:hyperlink r:id="rId18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 в профессиональной деятельности;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применять основные методы, способы и средства получения, хранения, </w:t>
      </w:r>
      <w:r>
        <w:lastRenderedPageBreak/>
        <w:t>переработки информации при решении задач профессиональной деятельности;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 и социальных ограничений на всех этапах жизненного уровня;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работать с нормативно-технической документацией, связанной с профессиональной деятельностью, с учетом стандартов, норм и правил;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ОПК-8. Способен проводить анализ затрат на обеспечение деятельности производственных подразделений в машиностроении;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внедрять и осваивать новое технологическое оборудование;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контролировать и обеспечивать производственную и экологическую безопасность на рабочих местах;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ОПК-11. Способен применять методы контроля качества изделий и объектов в сфере профессиональной деятельности, проводить анализ причин нарушений технологических процессов в машиностроении и разрабатывать мероприятия по их предупреждению;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обеспечивать технологичность изделий и процессов их изготовления, уметь контролировать соблюдение технологической дисциплины при изготовлении изделий машиностроения;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</w:t>
      </w:r>
      <w:proofErr w:type="gramEnd"/>
      <w:r>
        <w:t xml:space="preserve"> применять стандартные методы расчета при проектировании деталей и узлов изделий машиностроения;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50DE4" w:rsidRDefault="00B50DE4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0DE4" w:rsidRDefault="00B50DE4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9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</w:t>
      </w:r>
      <w:r>
        <w:lastRenderedPageBreak/>
        <w:t>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B50DE4" w:rsidRDefault="00B50DE4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</w:t>
      </w:r>
      <w:r>
        <w:lastRenderedPageBreak/>
        <w:t xml:space="preserve">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0DE4" w:rsidRDefault="00B50DE4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2021, N 27, ст. 5183), Федеральный </w:t>
      </w:r>
      <w:hyperlink r:id="rId22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2021, N 27, ст. 5159).</w:t>
      </w:r>
      <w:proofErr w:type="gramEnd"/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lastRenderedPageBreak/>
        <w:t>4.3.1. Помещения должны представлять собой учебные аудитории для проведения учебных занятий всех видов,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lastRenderedPageBreak/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50DE4" w:rsidRDefault="00B50DE4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50DE4" w:rsidRDefault="00B50DE4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right"/>
        <w:outlineLvl w:val="1"/>
      </w:pPr>
      <w:r>
        <w:t>Приложение</w:t>
      </w:r>
    </w:p>
    <w:p w:rsidR="00B50DE4" w:rsidRDefault="00B50DE4">
      <w:pPr>
        <w:pStyle w:val="ConsPlusNormal"/>
        <w:jc w:val="right"/>
      </w:pPr>
      <w:r>
        <w:t>к федеральному государственному</w:t>
      </w:r>
    </w:p>
    <w:p w:rsidR="00B50DE4" w:rsidRDefault="00B50DE4">
      <w:pPr>
        <w:pStyle w:val="ConsPlusNormal"/>
        <w:jc w:val="right"/>
      </w:pPr>
      <w:r>
        <w:t>образовательному стандарту</w:t>
      </w:r>
    </w:p>
    <w:p w:rsidR="00B50DE4" w:rsidRDefault="00B50DE4">
      <w:pPr>
        <w:pStyle w:val="ConsPlusNormal"/>
        <w:jc w:val="right"/>
      </w:pPr>
      <w:r>
        <w:t>высшего образования - бакалавриат</w:t>
      </w:r>
    </w:p>
    <w:p w:rsidR="00B50DE4" w:rsidRDefault="00B50DE4">
      <w:pPr>
        <w:pStyle w:val="ConsPlusNormal"/>
        <w:jc w:val="right"/>
      </w:pPr>
      <w:r>
        <w:t>по направлению подготовки 15.03.01</w:t>
      </w:r>
    </w:p>
    <w:p w:rsidR="00B50DE4" w:rsidRDefault="00B50DE4">
      <w:pPr>
        <w:pStyle w:val="ConsPlusNormal"/>
        <w:jc w:val="right"/>
      </w:pPr>
      <w:r>
        <w:t xml:space="preserve">Машиностроение, </w:t>
      </w:r>
      <w:proofErr w:type="gramStart"/>
      <w:r>
        <w:t>утвержденному</w:t>
      </w:r>
      <w:proofErr w:type="gramEnd"/>
    </w:p>
    <w:p w:rsidR="00B50DE4" w:rsidRDefault="00B50DE4">
      <w:pPr>
        <w:pStyle w:val="ConsPlusNormal"/>
        <w:jc w:val="right"/>
      </w:pPr>
      <w:r>
        <w:t>приказом Министерства науки</w:t>
      </w:r>
    </w:p>
    <w:p w:rsidR="00B50DE4" w:rsidRDefault="00B50DE4">
      <w:pPr>
        <w:pStyle w:val="ConsPlusNormal"/>
        <w:jc w:val="right"/>
      </w:pPr>
      <w:r>
        <w:t>и высшего образования</w:t>
      </w:r>
    </w:p>
    <w:p w:rsidR="00B50DE4" w:rsidRDefault="00B50DE4">
      <w:pPr>
        <w:pStyle w:val="ConsPlusNormal"/>
        <w:jc w:val="right"/>
      </w:pPr>
      <w:r>
        <w:t>Российской Федерации</w:t>
      </w:r>
    </w:p>
    <w:p w:rsidR="00B50DE4" w:rsidRDefault="00B50DE4">
      <w:pPr>
        <w:pStyle w:val="ConsPlusNormal"/>
        <w:jc w:val="right"/>
      </w:pPr>
      <w:r>
        <w:t>от 9 августа 2021 г. N 727</w:t>
      </w: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Title"/>
        <w:jc w:val="center"/>
      </w:pPr>
      <w:bookmarkStart w:id="10" w:name="P272"/>
      <w:bookmarkEnd w:id="10"/>
      <w:r>
        <w:t>ПЕРЕЧЕНЬ</w:t>
      </w:r>
    </w:p>
    <w:p w:rsidR="00B50DE4" w:rsidRDefault="00B50DE4">
      <w:pPr>
        <w:pStyle w:val="ConsPlusTitle"/>
        <w:jc w:val="center"/>
      </w:pPr>
      <w:r>
        <w:t>ПРОФЕССИОНАЛЬНЫХ СТАНДАРТОВ, СООТВЕТСТВУЮЩИХ</w:t>
      </w:r>
    </w:p>
    <w:p w:rsidR="00B50DE4" w:rsidRDefault="00B50DE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50DE4" w:rsidRDefault="00B50DE4">
      <w:pPr>
        <w:pStyle w:val="ConsPlusTitle"/>
        <w:jc w:val="center"/>
      </w:pPr>
      <w:r>
        <w:t>ПРОГРАММУ БАКАЛАВРИАТА ПО НАПРАВЛЕНИЮ ПОДГОТОВКИ</w:t>
      </w:r>
    </w:p>
    <w:p w:rsidR="00B50DE4" w:rsidRDefault="00B50DE4">
      <w:pPr>
        <w:pStyle w:val="ConsPlusTitle"/>
        <w:jc w:val="center"/>
      </w:pPr>
      <w:r>
        <w:t>15.03.01 МАШИНОСТРОЕНИЕ</w:t>
      </w:r>
    </w:p>
    <w:p w:rsidR="00B50DE4" w:rsidRDefault="00B50D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1644"/>
        <w:gridCol w:w="6860"/>
      </w:tblGrid>
      <w:tr w:rsidR="00B50DE4">
        <w:tc>
          <w:tcPr>
            <w:tcW w:w="562" w:type="dxa"/>
          </w:tcPr>
          <w:p w:rsidR="00B50DE4" w:rsidRDefault="00B50DE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B50DE4" w:rsidRDefault="00B50DE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50DE4">
        <w:tc>
          <w:tcPr>
            <w:tcW w:w="9066" w:type="dxa"/>
            <w:gridSpan w:val="3"/>
            <w:vAlign w:val="center"/>
          </w:tcPr>
          <w:p w:rsidR="00B50DE4" w:rsidRDefault="00B50DE4">
            <w:pPr>
              <w:pStyle w:val="ConsPlusNormal"/>
              <w:jc w:val="center"/>
              <w:outlineLvl w:val="2"/>
            </w:pPr>
            <w:hyperlink r:id="rId24">
              <w:r>
                <w:rPr>
                  <w:color w:val="0000FF"/>
                </w:rPr>
                <w:t>28</w:t>
              </w:r>
            </w:hyperlink>
            <w:r>
              <w:t xml:space="preserve"> Производство машин и оборудования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28.003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 механизации механосборочного производства", утвержденный приказом Министерства труда и социальной защиты Российской Федерации от 18 июля 2019 г. N 503н (зарегистрирован Министерством юстиции Российской Федерации 14 августа 2019 г., регистрационный N 55600)</w:t>
            </w:r>
          </w:p>
        </w:tc>
      </w:tr>
      <w:tr w:rsidR="00B50DE4">
        <w:tc>
          <w:tcPr>
            <w:tcW w:w="9066" w:type="dxa"/>
            <w:gridSpan w:val="3"/>
            <w:vAlign w:val="center"/>
          </w:tcPr>
          <w:p w:rsidR="00B50DE4" w:rsidRDefault="00B50DE4">
            <w:pPr>
              <w:pStyle w:val="ConsPlusNormal"/>
              <w:jc w:val="center"/>
              <w:outlineLvl w:val="2"/>
            </w:pPr>
            <w:hyperlink r:id="rId26">
              <w:r>
                <w:rPr>
                  <w:color w:val="0000FF"/>
                </w:rPr>
                <w:t>40</w:t>
              </w:r>
            </w:hyperlink>
            <w:r>
              <w:t xml:space="preserve"> Сквозные виды профессиональной деятельности в промышленности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40.013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13 марта 2017 г. N 277н (зарегистрирован Министерством юстиции Российской Федерации 4 мая 2017 г., регистрационный N 46603)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40.014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механосборочного производства заготовками", утвержденный приказом Министерства труда и социальной защиты Российской Федерации от 9 сентября 2020 г. N 591н (зарегистрирован Министерством юстиции Российской Федерации 6 октября 2020 г., регистрационный N 60268)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40.031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технологиям механообрабатывающего производства в машиностроении", утвержденный приказом Министерства труда и социальной защиты Российской Федерации от 13 марта 2017 г. N 274н (зарегистрирован Министерством юстиции Российской Федерации 10 мая 2017 г., регистрационный N 46666)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40.052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технологической оснастки механосборочного производства", утвержденный приказом Министерства труда и социальной защиты Российской Федерации от 13 марта 2017 г. N 271н (зарегистрирован Министерством юстиции Российской Федерации 10 мая 2017 г., регистрационный N 46667)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40.068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термического производства", утвержденный приказом Министерства труда и социальной защиты Российской Федерации от 2 июля 2019 г. N 469н (зарегистрирован Министерством юстиции Российской Федерации 26 июля 2019 г., регистрационный N 55410)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40.069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наладке и испытаниям технологического оборудования механосборочного производства", утвержденный приказом Министерства труда и социальной защиты Российской Федерации от 5 октября 2020 г. N 698н (зарегистрирован Министерством юстиции Российской Федерации 5 ноября 2020 г., регистрационный N 60736)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40.083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автоматизированному проектированию технологических процессов", утвержденный приказом Министерства труда и социальной защиты Российской Федерации от 3 июля 2019 г. N 478н (зарегистрирован Министерством юстиции Российской Федерации 29 июля 2019 г., регистрационный N 55441)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40.089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автоматизированной разработке технологий и программ для станков с числовым программным управлением", утвержденный приказом Министерства труда и социальной защиты Российской Федерации от 2 июля 2019 г. N 463н (зарегистрирован Министерством юстиции Российской Федерации 26 июля 2019 г., регистрационный N 55408)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40.090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качеству механосборочного производства", утвержденный приказом Министерства труда и социальной защиты Российской Федерации от 15 июля 2019 г. N 497н (зарегистрирован Министерством юстиции Российской Федерации 8 августа 2019 г., регистрационный N 55524)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40.100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инструментальному обеспечению механосборочного производства", утвержденный приказом Министерства труда и социальной защиты Российской Федерации от 23 апреля 2018 г. N 280н (зарегистрирован Министерством юстиции Российской Федерации 11 мая 2018 г., регистрационный N 51066)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40.108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неразрушающему контролю", утвержденный приказом Министерства труда и социальной защиты Российской Федерации от 3 декабря 2015 г. N 976н (зарегистрирован Министерством юстиции Российской Федерации 31 декабря 2015 г., регистрационный N 40443)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40.115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сварочного </w:t>
            </w:r>
            <w:r>
              <w:lastRenderedPageBreak/>
              <w:t>производства", утвержденный приказом Министерства труда и социальной защиты Российской Федерации от 3 декабря 2015 г. N 975н (зарегистрирован Министерством юстиции Российской Федерации 31 декабря 2015 г., регистрационный N 40444)</w:t>
            </w:r>
          </w:p>
        </w:tc>
      </w:tr>
      <w:tr w:rsidR="00B50DE4">
        <w:tc>
          <w:tcPr>
            <w:tcW w:w="562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1644" w:type="dxa"/>
            <w:vAlign w:val="center"/>
          </w:tcPr>
          <w:p w:rsidR="00B50DE4" w:rsidRDefault="00B50DE4">
            <w:pPr>
              <w:pStyle w:val="ConsPlusNormal"/>
              <w:jc w:val="center"/>
            </w:pPr>
            <w:r>
              <w:t>40.152</w:t>
            </w:r>
          </w:p>
        </w:tc>
        <w:tc>
          <w:tcPr>
            <w:tcW w:w="6860" w:type="dxa"/>
          </w:tcPr>
          <w:p w:rsidR="00B50DE4" w:rsidRDefault="00B50DE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гибких производственных систем в машиностроении", утвержденный приказом Министерства труда и социальной защиты Российской Федерации от 1 февраля 2017 г. N 117н (зарегистрирован Министерством юстиции Российской Федерации 27 февраля 2017 г., регистрационный N 45783)</w:t>
            </w:r>
          </w:p>
        </w:tc>
      </w:tr>
    </w:tbl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jc w:val="both"/>
      </w:pPr>
    </w:p>
    <w:p w:rsidR="00B50DE4" w:rsidRDefault="00B50DE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FF4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DE4"/>
    <w:rsid w:val="00770FB4"/>
    <w:rsid w:val="00B16C3E"/>
    <w:rsid w:val="00B50DE4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D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0D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50DE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0D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50DE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50DE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331DC9D36037B2E461B05757D74F4811869D6B1D5ADCA8BF3CE7371D5D6AF4A5A426AD4024FB2317C764DEF70AEDC97107ABB5FCE2B950T5z9H" TargetMode="External"/><Relationship Id="rId13" Type="http://schemas.openxmlformats.org/officeDocument/2006/relationships/hyperlink" Target="consultantplus://offline/ref=65331DC9D36037B2E461B05757D74F48118092681453DCA8BF3CE7371D5D6AF4A5A426AD4024F92217C764DEF70AEDC97107ABB5FCE2B950T5z9H" TargetMode="External"/><Relationship Id="rId18" Type="http://schemas.openxmlformats.org/officeDocument/2006/relationships/hyperlink" Target="consultantplus://offline/ref=65331DC9D36037B2E461B05757D74F481187966B1C59DCA8BF3CE7371D5D6AF4A5A426AD4025F3221AC764DEF70AEDC97107ABB5FCE2B950T5z9H" TargetMode="External"/><Relationship Id="rId26" Type="http://schemas.openxmlformats.org/officeDocument/2006/relationships/hyperlink" Target="consultantplus://offline/ref=65331DC9D36037B2E461B05757D74F481782916B165ADCA8BF3CE7371D5D6AF4A5A426AD4024FA2718C764DEF70AEDC97107ABB5FCE2B950T5z9H" TargetMode="External"/><Relationship Id="rId39" Type="http://schemas.openxmlformats.org/officeDocument/2006/relationships/hyperlink" Target="consultantplus://offline/ref=65331DC9D36037B2E461B05757D74F4817829669155DDCA8BF3CE7371D5D6AF4A5A426AD4024FB2617C764DEF70AEDC97107ABB5FCE2B950T5z9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5331DC9D36037B2E461B05757D74F48118696681353DCA8BF3CE7371D5D6AF4B7A47EA1412DE5271ED2328FB1T5zCH" TargetMode="External"/><Relationship Id="rId34" Type="http://schemas.openxmlformats.org/officeDocument/2006/relationships/hyperlink" Target="consultantplus://offline/ref=65331DC9D36037B2E461B05757D74F481680956F1753DCA8BF3CE7371D5D6AF4A5A426AD4024FB271EC764DEF70AEDC97107ABB5FCE2B950T5z9H" TargetMode="External"/><Relationship Id="rId7" Type="http://schemas.openxmlformats.org/officeDocument/2006/relationships/hyperlink" Target="consultantplus://offline/ref=65331DC9D36037B2E461B05757D74F481187966B1C59DCA8BF3CE7371D5D6AF4A5A426AD4025F3221AC764DEF70AEDC97107ABB5FCE2B950T5z9H" TargetMode="External"/><Relationship Id="rId12" Type="http://schemas.openxmlformats.org/officeDocument/2006/relationships/hyperlink" Target="consultantplus://offline/ref=65331DC9D36037B2E461B05757D74F481187966B1C59DCA8BF3CE7371D5D6AF4A5A426AD4025F3221AC764DEF70AEDC97107ABB5FCE2B950T5z9H" TargetMode="External"/><Relationship Id="rId17" Type="http://schemas.openxmlformats.org/officeDocument/2006/relationships/hyperlink" Target="consultantplus://offline/ref=65331DC9D36037B2E461B05757D74F4811819D6F1C58DCA8BF3CE7371D5D6AF4A5A426AD4024F3241EC764DEF70AEDC97107ABB5FCE2B950T5z9H" TargetMode="External"/><Relationship Id="rId25" Type="http://schemas.openxmlformats.org/officeDocument/2006/relationships/hyperlink" Target="consultantplus://offline/ref=65331DC9D36037B2E461B05757D74F481680946B125EDCA8BF3CE7371D5D6AF4A5A426AD4024FB271EC764DEF70AEDC97107ABB5FCE2B950T5z9H" TargetMode="External"/><Relationship Id="rId33" Type="http://schemas.openxmlformats.org/officeDocument/2006/relationships/hyperlink" Target="consultantplus://offline/ref=65331DC9D36037B2E461B05757D74F481680956B165BDCA8BF3CE7371D5D6AF4A5A426AD4024FB271FC764DEF70AEDC97107ABB5FCE2B950T5z9H" TargetMode="External"/><Relationship Id="rId38" Type="http://schemas.openxmlformats.org/officeDocument/2006/relationships/hyperlink" Target="consultantplus://offline/ref=65331DC9D36037B2E461B05757D74F48148A97641659DCA8BF3CE7371D5D6AF4A5A426AD4024FB2617C764DEF70AEDC97107ABB5FCE2B950T5z9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5331DC9D36037B2E461B05757D74F481782916B165ADCA8BF3CE7371D5D6AF4A5A426AD4024FA2718C764DEF70AEDC97107ABB5FCE2B950T5z9H" TargetMode="External"/><Relationship Id="rId20" Type="http://schemas.openxmlformats.org/officeDocument/2006/relationships/hyperlink" Target="consultantplus://offline/ref=65331DC9D36037B2E461B05757D74F4814879365135ADCA8BF3CE7371D5D6AF4B7A47EA1412DE5271ED2328FB1T5zCH" TargetMode="External"/><Relationship Id="rId29" Type="http://schemas.openxmlformats.org/officeDocument/2006/relationships/hyperlink" Target="consultantplus://offline/ref=65331DC9D36037B2E461B05757D74F481782936A175CDCA8BF3CE7371D5D6AF4A5A426AD4024FB271EC764DEF70AEDC97107ABB5FCE2B950T5z9H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5331DC9D36037B2E461B05757D74F4811819D6F1C58DCA8BF3CE7371D5D6AF4A5A426AD4024F3241EC764DEF70AEDC97107ABB5FCE2B950T5z9H" TargetMode="External"/><Relationship Id="rId11" Type="http://schemas.openxmlformats.org/officeDocument/2006/relationships/hyperlink" Target="consultantplus://offline/ref=65331DC9D36037B2E461B05757D74F4811819D6F1C58DCA8BF3CE7371D5D6AF4A5A426AD4024F3241EC764DEF70AEDC97107ABB5FCE2B950T5z9H" TargetMode="External"/><Relationship Id="rId24" Type="http://schemas.openxmlformats.org/officeDocument/2006/relationships/hyperlink" Target="consultantplus://offline/ref=65331DC9D36037B2E461B05757D74F481782916B165ADCA8BF3CE7371D5D6AF4A5A426AD4024FA261AC764DEF70AEDC97107ABB5FCE2B950T5z9H" TargetMode="External"/><Relationship Id="rId32" Type="http://schemas.openxmlformats.org/officeDocument/2006/relationships/hyperlink" Target="consultantplus://offline/ref=65331DC9D36037B2E461B05757D74F48168592681C5FDCA8BF3CE7371D5D6AF4A5A426AD4024FB271EC764DEF70AEDC97107ABB5FCE2B950T5z9H" TargetMode="External"/><Relationship Id="rId37" Type="http://schemas.openxmlformats.org/officeDocument/2006/relationships/hyperlink" Target="consultantplus://offline/ref=65331DC9D36037B2E461B05757D74F48148A976B1353DCA8BF3CE7371D5D6AF4A5A426AD4024FB2617C764DEF70AEDC97107ABB5FCE2B950T5z9H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5331DC9D36037B2E461B05757D74F481782916B165ADCA8BF3CE7371D5D6AF4A5A426AD4024FA261AC764DEF70AEDC97107ABB5FCE2B950T5z9H" TargetMode="External"/><Relationship Id="rId23" Type="http://schemas.openxmlformats.org/officeDocument/2006/relationships/hyperlink" Target="consultantplus://offline/ref=65331DC9D36037B2E461B05757D74F481187926F1D5DDCA8BF3CE7371D5D6AF4A5A426AD4024FE2716C764DEF70AEDC97107ABB5FCE2B950T5z9H" TargetMode="External"/><Relationship Id="rId28" Type="http://schemas.openxmlformats.org/officeDocument/2006/relationships/hyperlink" Target="consultantplus://offline/ref=65331DC9D36037B2E461B05757D74F481685916A125ADCA8BF3CE7371D5D6AF4A5A426AD4024FB271CC764DEF70AEDC97107ABB5FCE2B950T5z9H" TargetMode="External"/><Relationship Id="rId36" Type="http://schemas.openxmlformats.org/officeDocument/2006/relationships/hyperlink" Target="consultantplus://offline/ref=65331DC9D36037B2E461B05757D74F48178A9265135DDCA8BF3CE7371D5D6AF4A5A426AD4024FB271EC764DEF70AEDC97107ABB5FCE2B950T5z9H" TargetMode="External"/><Relationship Id="rId10" Type="http://schemas.openxmlformats.org/officeDocument/2006/relationships/hyperlink" Target="consultantplus://offline/ref=65331DC9D36037B2E461B05757D74F48148B936B1252DCA8BF3CE7371D5D6AF4A5A426AD4024FB271AC764DEF70AEDC97107ABB5FCE2B950T5z9H" TargetMode="External"/><Relationship Id="rId19" Type="http://schemas.openxmlformats.org/officeDocument/2006/relationships/hyperlink" Target="consultantplus://offline/ref=65331DC9D36037B2E461B05757D74F481782916B165ADCA8BF3CE7371D5D6AF4A5A426AD4024FB2618C764DEF70AEDC97107ABB5FCE2B950T5z9H" TargetMode="External"/><Relationship Id="rId31" Type="http://schemas.openxmlformats.org/officeDocument/2006/relationships/hyperlink" Target="consultantplus://offline/ref=65331DC9D36037B2E461B05757D74F48168095681159DCA8BF3CE7371D5D6AF4A5A426AD4024FB271FC764DEF70AEDC97107ABB5FCE2B950T5z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331DC9D36037B2E461B05757D74F48168A9C6F1058DCA8BF3CE7371D5D6AF4A5A426AD4024FB211CC764DEF70AEDC97107ABB5FCE2B950T5z9H" TargetMode="External"/><Relationship Id="rId14" Type="http://schemas.openxmlformats.org/officeDocument/2006/relationships/hyperlink" Target="consultantplus://offline/ref=65331DC9D36037B2E461B05757D74F481782916B165ADCA8BF3CE7371D5D6AF4A5A426AD4024FB2219C764DEF70AEDC97107ABB5FCE2B950T5z9H" TargetMode="External"/><Relationship Id="rId22" Type="http://schemas.openxmlformats.org/officeDocument/2006/relationships/hyperlink" Target="consultantplus://offline/ref=65331DC9D36037B2E461B05757D74F4811809C6E145BDCA8BF3CE7371D5D6AF4B7A47EA1412DE5271ED2328FB1T5zCH" TargetMode="External"/><Relationship Id="rId27" Type="http://schemas.openxmlformats.org/officeDocument/2006/relationships/hyperlink" Target="consultantplus://offline/ref=65331DC9D36037B2E461B05757D74F4817829369105BDCA8BF3CE7371D5D6AF4A5A426AD4024FB271EC764DEF70AEDC97107ABB5FCE2B950T5z9H" TargetMode="External"/><Relationship Id="rId30" Type="http://schemas.openxmlformats.org/officeDocument/2006/relationships/hyperlink" Target="consultantplus://offline/ref=65331DC9D36037B2E461B05757D74F481782936A175DDCA8BF3CE7371D5D6AF4A5A426AD4024FB271EC764DEF70AEDC97107ABB5FCE2B950T5z9H" TargetMode="External"/><Relationship Id="rId35" Type="http://schemas.openxmlformats.org/officeDocument/2006/relationships/hyperlink" Target="consultantplus://offline/ref=65331DC9D36037B2E461B05757D74F481680946F175DDCA8BF3CE7371D5D6AF4A5A426AD4024FB271EC764DEF70AEDC97107ABB5FCE2B950T5z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6398</Words>
  <Characters>36471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2023-10-19T07:51:00Z</dcterms:created>
  <dcterms:modified xsi:type="dcterms:W3CDTF">2023-10-19T07:51:00Z</dcterms:modified>
</cp:coreProperties>
</file>